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line="278.4" w:lineRule="auto"/>
        <w:rPr/>
      </w:pPr>
      <w:bookmarkStart w:colFirst="0" w:colLast="0" w:name="_heading=h.788o6egtukua" w:id="0"/>
      <w:bookmarkEnd w:id="0"/>
      <w:r w:rsidDel="00000000" w:rsidR="00000000" w:rsidRPr="00000000">
        <w:rPr>
          <w:rtl w:val="0"/>
        </w:rPr>
        <w:t xml:space="preserve">Job Description</w:t>
      </w:r>
    </w:p>
    <w:p w:rsidR="00000000" w:rsidDel="00000000" w:rsidP="00000000" w:rsidRDefault="00000000" w:rsidRPr="00000000" w14:paraId="00000002">
      <w:pPr>
        <w:spacing w:after="0" w:before="0" w:line="278.4" w:lineRule="auto"/>
        <w:jc w:val="both"/>
        <w:rPr>
          <w:rFonts w:ascii="Aptos" w:cs="Aptos" w:eastAsia="Aptos" w:hAnsi="Aptos"/>
          <w:b w:val="0"/>
          <w:bCs w:val="0"/>
          <w:i w:val="0"/>
          <w:iCs w:val="0"/>
          <w:smallCaps w:val="0"/>
          <w:color w:val="000000"/>
          <w:sz w:val="22"/>
          <w:szCs w:val="22"/>
        </w:rPr>
      </w:pPr>
      <w:r w:rsidDel="00000000" w:rsidR="00000000" w:rsidRPr="00000000">
        <w:rPr>
          <w:rFonts w:ascii="Aptos" w:cs="Aptos" w:eastAsia="Aptos" w:hAnsi="Aptos"/>
          <w:b w:val="1"/>
          <w:bCs w:val="1"/>
          <w:i w:val="0"/>
          <w:iCs w:val="0"/>
          <w:smallCaps w:val="0"/>
          <w:color w:val="0e2740"/>
          <w:sz w:val="22"/>
          <w:szCs w:val="22"/>
          <w:rtl w:val="0"/>
        </w:rPr>
        <w:t xml:space="preserve">Title:</w:t>
      </w:r>
      <w:r w:rsidDel="00000000" w:rsidR="00000000" w:rsidRPr="00000000">
        <w:rPr>
          <w:rFonts w:ascii="Aptos" w:cs="Aptos" w:eastAsia="Aptos" w:hAnsi="Aptos"/>
          <w:b w:val="0"/>
          <w:bCs w:val="0"/>
          <w:i w:val="0"/>
          <w:iCs w:val="0"/>
          <w:smallCaps w:val="0"/>
          <w:color w:val="000000"/>
          <w:sz w:val="22"/>
          <w:szCs w:val="22"/>
          <w:rtl w:val="0"/>
        </w:rPr>
        <w:t xml:space="preserve"> Issuer Engagement Manager</w:t>
      </w:r>
    </w:p>
    <w:p w:rsidR="00000000" w:rsidDel="00000000" w:rsidP="00000000" w:rsidRDefault="00000000" w:rsidRPr="00000000" w14:paraId="00000003">
      <w:pPr>
        <w:spacing w:after="0" w:before="0" w:line="278.4" w:lineRule="auto"/>
        <w:jc w:val="both"/>
        <w:rPr>
          <w:sz w:val="22"/>
          <w:szCs w:val="22"/>
        </w:rPr>
      </w:pPr>
      <w:r w:rsidDel="00000000" w:rsidR="00000000" w:rsidRPr="00000000">
        <w:rPr>
          <w:rFonts w:ascii="Aptos" w:cs="Aptos" w:eastAsia="Aptos" w:hAnsi="Aptos"/>
          <w:b w:val="1"/>
          <w:bCs w:val="1"/>
          <w:i w:val="0"/>
          <w:iCs w:val="0"/>
          <w:smallCaps w:val="0"/>
          <w:color w:val="0e2740"/>
          <w:sz w:val="22"/>
          <w:szCs w:val="22"/>
          <w:rtl w:val="0"/>
        </w:rPr>
        <w:t xml:space="preserve">Location:</w:t>
      </w:r>
      <w:r w:rsidDel="00000000" w:rsidR="00000000" w:rsidRPr="00000000">
        <w:rPr>
          <w:rFonts w:ascii="Aptos" w:cs="Aptos" w:eastAsia="Aptos" w:hAnsi="Aptos"/>
          <w:b w:val="0"/>
          <w:bCs w:val="0"/>
          <w:i w:val="0"/>
          <w:iCs w:val="0"/>
          <w:smallCaps w:val="0"/>
          <w:color w:val="000000"/>
          <w:sz w:val="22"/>
          <w:szCs w:val="22"/>
          <w:rtl w:val="0"/>
        </w:rPr>
        <w:t xml:space="preserve"> Remote,</w:t>
      </w:r>
      <w:r w:rsidDel="00000000" w:rsidR="00000000" w:rsidRPr="00000000">
        <w:rPr>
          <w:sz w:val="22"/>
          <w:szCs w:val="22"/>
          <w:rtl w:val="0"/>
        </w:rPr>
        <w:t xml:space="preserve"> (</w:t>
      </w:r>
      <w:r w:rsidDel="00000000" w:rsidR="00000000" w:rsidRPr="00000000">
        <w:rPr>
          <w:rFonts w:ascii="Aptos" w:cs="Aptos" w:eastAsia="Aptos" w:hAnsi="Aptos"/>
          <w:b w:val="0"/>
          <w:bCs w:val="0"/>
          <w:i w:val="0"/>
          <w:iCs w:val="0"/>
          <w:smallCaps w:val="0"/>
          <w:color w:val="000000"/>
          <w:sz w:val="22"/>
          <w:szCs w:val="22"/>
          <w:rtl w:val="0"/>
        </w:rPr>
        <w:t xml:space="preserve">based in </w:t>
      </w:r>
      <w:r w:rsidDel="00000000" w:rsidR="00000000" w:rsidRPr="00000000">
        <w:rPr>
          <w:sz w:val="22"/>
          <w:szCs w:val="22"/>
          <w:rtl w:val="0"/>
        </w:rPr>
        <w:t xml:space="preserve">E</w:t>
      </w:r>
      <w:r w:rsidDel="00000000" w:rsidR="00000000" w:rsidRPr="00000000">
        <w:rPr>
          <w:rFonts w:ascii="Aptos" w:cs="Aptos" w:eastAsia="Aptos" w:hAnsi="Aptos"/>
          <w:b w:val="0"/>
          <w:bCs w:val="0"/>
          <w:i w:val="0"/>
          <w:iCs w:val="0"/>
          <w:smallCaps w:val="0"/>
          <w:color w:val="000000"/>
          <w:sz w:val="22"/>
          <w:szCs w:val="22"/>
          <w:rtl w:val="0"/>
        </w:rPr>
        <w:t xml:space="preserve">urope</w:t>
      </w:r>
      <w:r w:rsidDel="00000000" w:rsidR="00000000" w:rsidRPr="00000000">
        <w:rPr>
          <w:rFonts w:ascii="Aptos" w:cs="Aptos" w:eastAsia="Aptos" w:hAnsi="Aptos"/>
          <w:b w:val="0"/>
          <w:bCs w:val="0"/>
          <w:i w:val="0"/>
          <w:iCs w:val="0"/>
          <w:smallCaps w:val="0"/>
          <w:color w:val="000000"/>
          <w:sz w:val="22"/>
          <w:szCs w:val="22"/>
          <w:rtl w:val="0"/>
        </w:rPr>
        <w:t xml:space="preserve"> or A</w:t>
      </w:r>
      <w:r w:rsidDel="00000000" w:rsidR="00000000" w:rsidRPr="00000000">
        <w:rPr>
          <w:sz w:val="22"/>
          <w:szCs w:val="22"/>
          <w:rtl w:val="0"/>
        </w:rPr>
        <w:t xml:space="preserve">frica</w:t>
      </w:r>
      <w:r w:rsidDel="00000000" w:rsidR="00000000" w:rsidRPr="00000000">
        <w:rPr>
          <w:rFonts w:ascii="Aptos" w:cs="Aptos" w:eastAsia="Aptos" w:hAnsi="Aptos"/>
          <w:b w:val="0"/>
          <w:bCs w:val="0"/>
          <w:i w:val="0"/>
          <w:iCs w:val="0"/>
          <w:smallCaps w:val="0"/>
          <w:color w:val="000000"/>
          <w:sz w:val="22"/>
          <w:szCs w:val="22"/>
          <w:rtl w:val="0"/>
        </w:rPr>
        <w:t xml:space="preserve">)</w:t>
      </w:r>
      <w:r w:rsidDel="00000000" w:rsidR="00000000" w:rsidRPr="00000000">
        <w:rPr>
          <w:rtl w:val="0"/>
        </w:rPr>
      </w:r>
    </w:p>
    <w:p w:rsidR="00000000" w:rsidDel="00000000" w:rsidP="00000000" w:rsidRDefault="00000000" w:rsidRPr="00000000" w14:paraId="00000004">
      <w:pPr>
        <w:spacing w:after="0" w:before="0" w:line="278.4" w:lineRule="auto"/>
        <w:jc w:val="both"/>
        <w:rPr>
          <w:rFonts w:ascii="Aptos" w:cs="Aptos" w:eastAsia="Aptos" w:hAnsi="Aptos"/>
          <w:sz w:val="22"/>
          <w:szCs w:val="22"/>
        </w:rPr>
      </w:pPr>
      <w:r w:rsidDel="00000000" w:rsidR="00000000" w:rsidRPr="00000000">
        <w:rPr>
          <w:rFonts w:ascii="Aptos" w:cs="Aptos" w:eastAsia="Aptos" w:hAnsi="Aptos"/>
          <w:b w:val="1"/>
          <w:bCs w:val="1"/>
          <w:i w:val="0"/>
          <w:iCs w:val="0"/>
          <w:smallCaps w:val="0"/>
          <w:color w:val="0e2740"/>
          <w:sz w:val="22"/>
          <w:szCs w:val="22"/>
          <w:rtl w:val="0"/>
        </w:rPr>
        <w:t xml:space="preserve">Terms: </w:t>
      </w:r>
      <w:r w:rsidDel="00000000" w:rsidR="00000000" w:rsidRPr="00000000">
        <w:rPr>
          <w:sz w:val="22"/>
          <w:szCs w:val="22"/>
          <w:rtl w:val="0"/>
        </w:rPr>
        <w:t xml:space="preserve"> Full time </w:t>
      </w:r>
      <w:r w:rsidDel="00000000" w:rsidR="00000000" w:rsidRPr="00000000">
        <w:rPr>
          <w:rFonts w:ascii="Arial" w:cs="Arial" w:eastAsia="Arial" w:hAnsi="Arial"/>
          <w:color w:val="222222"/>
          <w:sz w:val="22"/>
          <w:szCs w:val="22"/>
          <w:highlight w:val="white"/>
          <w:rtl w:val="0"/>
        </w:rPr>
        <w:t xml:space="preserve">–</w:t>
      </w:r>
      <w:r w:rsidDel="00000000" w:rsidR="00000000" w:rsidRPr="00000000">
        <w:rPr>
          <w:sz w:val="22"/>
          <w:szCs w:val="22"/>
          <w:rtl w:val="0"/>
        </w:rPr>
        <w:t xml:space="preserve"> initial 12-month fixed-term contract, with a view to extension dependent on funding</w:t>
      </w:r>
      <w:r w:rsidDel="00000000" w:rsidR="00000000" w:rsidRPr="00000000">
        <w:rPr>
          <w:rtl w:val="0"/>
        </w:rPr>
      </w:r>
    </w:p>
    <w:p w:rsidR="00000000" w:rsidDel="00000000" w:rsidP="00000000" w:rsidRDefault="00000000" w:rsidRPr="00000000" w14:paraId="00000005">
      <w:pPr>
        <w:spacing w:after="0" w:before="0" w:line="278.4" w:lineRule="auto"/>
        <w:jc w:val="both"/>
        <w:rPr>
          <w:sz w:val="22"/>
          <w:szCs w:val="22"/>
        </w:rPr>
      </w:pPr>
      <w:r w:rsidDel="00000000" w:rsidR="00000000" w:rsidRPr="00000000">
        <w:rPr>
          <w:rFonts w:ascii="Aptos" w:cs="Aptos" w:eastAsia="Aptos" w:hAnsi="Aptos"/>
          <w:b w:val="1"/>
          <w:bCs w:val="1"/>
          <w:i w:val="0"/>
          <w:iCs w:val="0"/>
          <w:smallCaps w:val="0"/>
          <w:color w:val="0e2740"/>
          <w:sz w:val="22"/>
          <w:szCs w:val="22"/>
          <w:rtl w:val="0"/>
        </w:rPr>
        <w:t xml:space="preserve">Annual salary:</w:t>
      </w:r>
      <w:r w:rsidDel="00000000" w:rsidR="00000000" w:rsidRPr="00000000">
        <w:rPr>
          <w:rFonts w:ascii="Arial" w:cs="Arial" w:eastAsia="Arial" w:hAnsi="Arial"/>
          <w:color w:val="222222"/>
          <w:sz w:val="22"/>
          <w:szCs w:val="22"/>
          <w:highlight w:val="white"/>
          <w:rtl w:val="0"/>
        </w:rPr>
        <w:t xml:space="preserve">£50,000 – £80,000</w:t>
      </w:r>
      <w:r w:rsidDel="00000000" w:rsidR="00000000" w:rsidRPr="00000000">
        <w:rPr>
          <w:sz w:val="22"/>
          <w:szCs w:val="22"/>
          <w:rtl w:val="0"/>
        </w:rPr>
        <w:t xml:space="preserve"> (subject to experience and local benchmarks)  </w:t>
      </w:r>
    </w:p>
    <w:p w:rsidR="00000000" w:rsidDel="00000000" w:rsidP="00000000" w:rsidRDefault="00000000" w:rsidRPr="00000000" w14:paraId="00000006">
      <w:pPr>
        <w:spacing w:after="120" w:line="278.4" w:lineRule="auto"/>
        <w:jc w:val="both"/>
        <w:rPr>
          <w:b w:val="1"/>
          <w:bCs w:val="1"/>
          <w:color w:val="0e2740"/>
          <w:sz w:val="22"/>
          <w:szCs w:val="22"/>
        </w:rPr>
      </w:pPr>
      <w:r w:rsidDel="00000000" w:rsidR="00000000" w:rsidRPr="00000000">
        <w:rPr>
          <w:i w:val="1"/>
          <w:iCs w:val="1"/>
          <w:sz w:val="22"/>
          <w:szCs w:val="22"/>
          <w:rtl w:val="0"/>
        </w:rPr>
        <w:t xml:space="preserve">Note: local cost of living and other relevant factors will be considered in the final salary offer</w:t>
      </w:r>
      <w:r w:rsidDel="00000000" w:rsidR="00000000" w:rsidRPr="00000000">
        <w:rPr>
          <w:rtl w:val="0"/>
        </w:rPr>
      </w:r>
    </w:p>
    <w:p w:rsidR="00000000" w:rsidDel="00000000" w:rsidP="00000000" w:rsidRDefault="00000000" w:rsidRPr="00000000" w14:paraId="00000007">
      <w:pPr>
        <w:pStyle w:val="Heading2"/>
        <w:spacing w:after="120" w:line="278.4" w:lineRule="auto"/>
        <w:jc w:val="both"/>
        <w:rPr/>
      </w:pPr>
      <w:bookmarkStart w:colFirst="0" w:colLast="0" w:name="_heading=h.nr4ot8jtrpsn" w:id="1"/>
      <w:bookmarkEnd w:id="1"/>
      <w:r w:rsidDel="00000000" w:rsidR="00000000" w:rsidRPr="00000000">
        <w:rPr>
          <w:rtl w:val="0"/>
        </w:rPr>
        <w:t xml:space="preserve">Be part of something big from the ground up</w:t>
      </w:r>
    </w:p>
    <w:p w:rsidR="00000000" w:rsidDel="00000000" w:rsidP="00000000" w:rsidRDefault="00000000" w:rsidRPr="00000000" w14:paraId="00000008">
      <w:pPr>
        <w:spacing w:after="120" w:before="0" w:line="278.4" w:lineRule="auto"/>
        <w:jc w:val="both"/>
        <w:rPr>
          <w:color w:val="47d45a"/>
          <w:sz w:val="22"/>
          <w:szCs w:val="22"/>
        </w:rPr>
      </w:pPr>
      <w:r w:rsidDel="00000000" w:rsidR="00000000" w:rsidRPr="00000000">
        <w:rPr>
          <w:sz w:val="22"/>
          <w:szCs w:val="22"/>
          <w:rtl w:val="0"/>
        </w:rPr>
        <w:t xml:space="preserve">The Blue Bond Accelerator (BBA) is building the market for blue bonds to unlock billions in ocean-positive finance - addressing some of the most urgent challenges of our time: ocean health, climate resilience, and vibrant coastal livelihoods. As a newly formed, fast-growing initiative, we offer a rare opportunity to help shape the future of ocean finance at scale. We’re in start-up mode, which means we’re building as we go - so we’re looking for exceptional, mission-driven professionals who thrive in dynamic, entrepreneurial environments. If you’re excited by the chance to deliver real-world impact while helping build a globally significant organisation from the ground up, we want to hear from you.</w:t>
      </w:r>
      <w:r w:rsidDel="00000000" w:rsidR="00000000" w:rsidRPr="00000000">
        <w:rPr>
          <w:rtl w:val="0"/>
        </w:rPr>
      </w:r>
    </w:p>
    <w:p w:rsidR="00000000" w:rsidDel="00000000" w:rsidP="00000000" w:rsidRDefault="00000000" w:rsidRPr="00000000" w14:paraId="00000009">
      <w:pPr>
        <w:pStyle w:val="Heading2"/>
        <w:spacing w:after="120" w:line="278.4" w:lineRule="auto"/>
        <w:jc w:val="both"/>
        <w:rPr/>
      </w:pPr>
      <w:bookmarkStart w:colFirst="0" w:colLast="0" w:name="_heading=h.ayejl3p9rf53" w:id="2"/>
      <w:bookmarkEnd w:id="2"/>
      <w:r w:rsidDel="00000000" w:rsidR="00000000" w:rsidRPr="00000000">
        <w:rPr>
          <w:rtl w:val="0"/>
        </w:rPr>
        <w:t xml:space="preserve">About us</w:t>
      </w:r>
    </w:p>
    <w:p w:rsidR="00000000" w:rsidDel="00000000" w:rsidP="00000000" w:rsidRDefault="00000000" w:rsidRPr="00000000" w14:paraId="0000000A">
      <w:pPr>
        <w:spacing w:after="120" w:before="0" w:line="278.4" w:lineRule="auto"/>
        <w:jc w:val="both"/>
        <w:rPr>
          <w:b w:val="1"/>
          <w:bCs w:val="1"/>
          <w:color w:val="0e2740"/>
        </w:rPr>
      </w:pPr>
      <w:r w:rsidDel="00000000" w:rsidR="00000000" w:rsidRPr="00000000">
        <w:rPr>
          <w:sz w:val="22"/>
          <w:szCs w:val="22"/>
          <w:rtl w:val="0"/>
        </w:rPr>
        <w:t xml:space="preserve">The BBA exists to accelerate the issuance of and investment in credible blue bonds globally. We build pipelines, boost ambition and elevate integrity to scale the use of blue bonds as a key solution for ocean and climate resilience. Launched in January 2025, the BBA is an exciting and growing initiative currently supported by a dedicated team of seven. This position offers a rare opportunity to help shape not only your own role, but the future direction of the organisation as a whole.</w:t>
      </w:r>
      <w:r w:rsidDel="00000000" w:rsidR="00000000" w:rsidRPr="00000000">
        <w:rPr>
          <w:rtl w:val="0"/>
        </w:rPr>
      </w:r>
    </w:p>
    <w:p w:rsidR="00000000" w:rsidDel="00000000" w:rsidP="00000000" w:rsidRDefault="00000000" w:rsidRPr="00000000" w14:paraId="0000000B">
      <w:pPr>
        <w:pStyle w:val="Heading2"/>
        <w:spacing w:after="120" w:line="278.4" w:lineRule="auto"/>
        <w:jc w:val="both"/>
        <w:rPr/>
      </w:pPr>
      <w:bookmarkStart w:colFirst="0" w:colLast="0" w:name="_heading=h.wr70tiiblm2t" w:id="3"/>
      <w:bookmarkEnd w:id="3"/>
      <w:r w:rsidDel="00000000" w:rsidR="00000000" w:rsidRPr="00000000">
        <w:rPr>
          <w:rtl w:val="0"/>
        </w:rPr>
        <w:t xml:space="preserve">About the role</w:t>
      </w:r>
    </w:p>
    <w:p w:rsidR="00000000" w:rsidDel="00000000" w:rsidP="00000000" w:rsidRDefault="00000000" w:rsidRPr="00000000" w14:paraId="0000000C">
      <w:pPr>
        <w:spacing w:after="120" w:before="0" w:line="278.4" w:lineRule="auto"/>
        <w:jc w:val="both"/>
        <w:rPr>
          <w:rFonts w:ascii="Aptos" w:cs="Aptos" w:eastAsia="Aptos" w:hAnsi="Aptos"/>
          <w:b w:val="0"/>
          <w:bCs w:val="0"/>
          <w:i w:val="0"/>
          <w:iCs w:val="0"/>
          <w:smallCaps w:val="0"/>
          <w:color w:val="000000"/>
          <w:sz w:val="22"/>
          <w:szCs w:val="22"/>
        </w:rPr>
      </w:pPr>
      <w:r w:rsidDel="00000000" w:rsidR="00000000" w:rsidRPr="00000000">
        <w:rPr>
          <w:rFonts w:ascii="Aptos" w:cs="Aptos" w:eastAsia="Aptos" w:hAnsi="Aptos"/>
          <w:b w:val="0"/>
          <w:bCs w:val="0"/>
          <w:i w:val="0"/>
          <w:iCs w:val="0"/>
          <w:smallCaps w:val="0"/>
          <w:color w:val="000000"/>
          <w:sz w:val="22"/>
          <w:szCs w:val="22"/>
          <w:rtl w:val="0"/>
        </w:rPr>
        <w:t xml:space="preserve">Reporting to the Director of Market Engagement and Partnerships, the Issuer Engagement Manager will play an essential role in growing</w:t>
      </w:r>
      <w:r w:rsidDel="00000000" w:rsidR="00000000" w:rsidRPr="00000000">
        <w:rPr>
          <w:sz w:val="22"/>
          <w:szCs w:val="22"/>
          <w:rtl w:val="0"/>
        </w:rPr>
        <w:t xml:space="preserve"> a robust and credible pipeline of blue bond issuance opportunities. The role will focus </w:t>
      </w:r>
      <w:r w:rsidDel="00000000" w:rsidR="00000000" w:rsidRPr="00000000">
        <w:rPr>
          <w:rFonts w:ascii="Aptos" w:cs="Aptos" w:eastAsia="Aptos" w:hAnsi="Aptos"/>
          <w:sz w:val="22"/>
          <w:szCs w:val="22"/>
          <w:rtl w:val="0"/>
        </w:rPr>
        <w:t xml:space="preserve">on</w:t>
      </w:r>
      <w:r w:rsidDel="00000000" w:rsidR="00000000" w:rsidRPr="00000000">
        <w:rPr>
          <w:sz w:val="22"/>
          <w:szCs w:val="22"/>
          <w:rtl w:val="0"/>
        </w:rPr>
        <w:t xml:space="preserve"> </w:t>
      </w:r>
      <w:r w:rsidDel="00000000" w:rsidR="00000000" w:rsidRPr="00000000">
        <w:rPr>
          <w:rFonts w:ascii="Aptos" w:cs="Aptos" w:eastAsia="Aptos" w:hAnsi="Aptos"/>
          <w:sz w:val="22"/>
          <w:szCs w:val="22"/>
          <w:rtl w:val="0"/>
        </w:rPr>
        <w:t xml:space="preserve">supporting sovereign and sub-sovereign</w:t>
      </w:r>
      <w:r w:rsidDel="00000000" w:rsidR="00000000" w:rsidRPr="00000000">
        <w:rPr>
          <w:sz w:val="22"/>
          <w:szCs w:val="22"/>
          <w:rtl w:val="0"/>
        </w:rPr>
        <w:t xml:space="preserve"> and private issuers</w:t>
      </w:r>
      <w:r w:rsidDel="00000000" w:rsidR="00000000" w:rsidRPr="00000000">
        <w:rPr>
          <w:rFonts w:ascii="Aptos" w:cs="Aptos" w:eastAsia="Aptos" w:hAnsi="Aptos"/>
          <w:sz w:val="22"/>
          <w:szCs w:val="22"/>
          <w:rtl w:val="0"/>
        </w:rPr>
        <w:t xml:space="preserve"> particu</w:t>
      </w:r>
      <w:r w:rsidDel="00000000" w:rsidR="00000000" w:rsidRPr="00000000">
        <w:rPr>
          <w:sz w:val="22"/>
          <w:szCs w:val="22"/>
          <w:rtl w:val="0"/>
        </w:rPr>
        <w:t xml:space="preserve">larly in s</w:t>
      </w:r>
      <w:r w:rsidDel="00000000" w:rsidR="00000000" w:rsidRPr="00000000">
        <w:rPr>
          <w:rFonts w:ascii="Aptos" w:cs="Aptos" w:eastAsia="Aptos" w:hAnsi="Aptos"/>
          <w:sz w:val="22"/>
          <w:szCs w:val="22"/>
          <w:rtl w:val="0"/>
        </w:rPr>
        <w:t xml:space="preserve">mall Island Developing States (SIDS) and Least Developed Countries (LDCs) </w:t>
      </w:r>
      <w:r w:rsidDel="00000000" w:rsidR="00000000" w:rsidRPr="00000000">
        <w:rPr>
          <w:sz w:val="22"/>
          <w:szCs w:val="22"/>
          <w:rtl w:val="0"/>
        </w:rPr>
        <w:t xml:space="preserve">across</w:t>
      </w:r>
      <w:r w:rsidDel="00000000" w:rsidR="00000000" w:rsidRPr="00000000">
        <w:rPr>
          <w:rFonts w:ascii="Aptos" w:cs="Aptos" w:eastAsia="Aptos" w:hAnsi="Aptos"/>
          <w:sz w:val="22"/>
          <w:szCs w:val="22"/>
          <w:rtl w:val="0"/>
        </w:rPr>
        <w:t xml:space="preserve"> Afric</w:t>
      </w:r>
      <w:r w:rsidDel="00000000" w:rsidR="00000000" w:rsidRPr="00000000">
        <w:rPr>
          <w:sz w:val="22"/>
          <w:szCs w:val="22"/>
          <w:rtl w:val="0"/>
        </w:rPr>
        <w:t xml:space="preserve">a, Europe and Americas to design and issue labelled debt instruments.</w:t>
      </w:r>
      <w:r w:rsidDel="00000000" w:rsidR="00000000" w:rsidRPr="00000000">
        <w:rPr>
          <w:rFonts w:ascii="Aptos" w:cs="Aptos" w:eastAsia="Aptos" w:hAnsi="Aptos"/>
          <w:sz w:val="22"/>
          <w:szCs w:val="22"/>
          <w:rtl w:val="0"/>
        </w:rPr>
        <w:t xml:space="preserve"> Whether it’s supporting issuers to design compelling, high-integrity blue bonds or helping align these opportunities with investor expectations</w:t>
      </w:r>
      <w:r w:rsidDel="00000000" w:rsidR="00000000" w:rsidRPr="00000000">
        <w:rPr>
          <w:sz w:val="22"/>
          <w:szCs w:val="22"/>
          <w:rtl w:val="0"/>
        </w:rPr>
        <w:t xml:space="preserve"> or DFIs</w:t>
      </w:r>
      <w:r w:rsidDel="00000000" w:rsidR="00000000" w:rsidRPr="00000000">
        <w:rPr>
          <w:rFonts w:ascii="Aptos" w:cs="Aptos" w:eastAsia="Aptos" w:hAnsi="Aptos"/>
          <w:sz w:val="22"/>
          <w:szCs w:val="22"/>
          <w:rtl w:val="0"/>
        </w:rPr>
        <w:t xml:space="preserve"> your work will directly contribute to driving capital toward the communities and ecosystems that need it most.</w:t>
      </w:r>
      <w:r w:rsidDel="00000000" w:rsidR="00000000" w:rsidRPr="00000000">
        <w:rPr>
          <w:rFonts w:ascii="Aptos" w:cs="Aptos" w:eastAsia="Aptos" w:hAnsi="Aptos"/>
          <w:b w:val="0"/>
          <w:bCs w:val="0"/>
          <w:i w:val="0"/>
          <w:iCs w:val="0"/>
          <w:smallCaps w:val="0"/>
          <w:color w:val="000000"/>
          <w:sz w:val="22"/>
          <w:szCs w:val="22"/>
          <w:rtl w:val="0"/>
        </w:rPr>
        <w:t xml:space="preserve"> </w:t>
      </w:r>
    </w:p>
    <w:p w:rsidR="00000000" w:rsidDel="00000000" w:rsidP="00000000" w:rsidRDefault="00000000" w:rsidRPr="00000000" w14:paraId="0000000D">
      <w:pPr>
        <w:spacing w:after="120" w:before="0" w:line="278.4" w:lineRule="auto"/>
        <w:jc w:val="both"/>
        <w:rPr>
          <w:sz w:val="22"/>
          <w:szCs w:val="22"/>
        </w:rPr>
      </w:pPr>
      <w:r w:rsidDel="00000000" w:rsidR="00000000" w:rsidRPr="00000000">
        <w:rPr>
          <w:sz w:val="22"/>
          <w:szCs w:val="22"/>
          <w:rtl w:val="0"/>
        </w:rPr>
        <w:t xml:space="preserve">The Issuer Engagement Manager will combine relationship management, technical expertise, policy and government engagement and strategic coordination to help issuers navigate the full issuance lifecycle—from early-stage project scoping and framework development through issuance and post-issuance reporting—while aligning issuer needs with investor expectations and global best practices.</w:t>
      </w:r>
    </w:p>
    <w:p w:rsidR="00000000" w:rsidDel="00000000" w:rsidP="00000000" w:rsidRDefault="00000000" w:rsidRPr="00000000" w14:paraId="0000000E">
      <w:pPr>
        <w:spacing w:after="120" w:before="0" w:line="278.4" w:lineRule="auto"/>
        <w:jc w:val="both"/>
        <w:rPr>
          <w:sz w:val="22"/>
          <w:szCs w:val="22"/>
        </w:rPr>
      </w:pPr>
      <w:r w:rsidDel="00000000" w:rsidR="00000000" w:rsidRPr="00000000">
        <w:rPr>
          <w:sz w:val="22"/>
          <w:szCs w:val="22"/>
          <w:rtl w:val="0"/>
        </w:rPr>
        <w:t xml:space="preserve">This is a hands-on role within a growing organisation, offering significant scope for professional growth and increasing responsibility over time.</w:t>
      </w:r>
    </w:p>
    <w:p w:rsidR="00000000" w:rsidDel="00000000" w:rsidP="00000000" w:rsidRDefault="00000000" w:rsidRPr="00000000" w14:paraId="0000000F">
      <w:pPr>
        <w:pStyle w:val="Heading3"/>
        <w:spacing w:after="120" w:line="278.4" w:lineRule="auto"/>
        <w:jc w:val="both"/>
        <w:rPr>
          <w:sz w:val="32"/>
          <w:szCs w:val="32"/>
        </w:rPr>
      </w:pPr>
      <w:bookmarkStart w:colFirst="0" w:colLast="0" w:name="_heading=h.k2l2ekao8qbt" w:id="4"/>
      <w:bookmarkEnd w:id="4"/>
      <w:r w:rsidDel="00000000" w:rsidR="00000000" w:rsidRPr="00000000">
        <w:rPr>
          <w:sz w:val="32"/>
          <w:szCs w:val="32"/>
          <w:rtl w:val="0"/>
        </w:rPr>
        <w:t xml:space="preserve">Key Responsibilities</w:t>
      </w:r>
    </w:p>
    <w:p w:rsidR="00000000" w:rsidDel="00000000" w:rsidP="00000000" w:rsidRDefault="00000000" w:rsidRPr="00000000" w14:paraId="00000010">
      <w:pPr>
        <w:pStyle w:val="Heading5"/>
        <w:numPr>
          <w:ilvl w:val="0"/>
          <w:numId w:val="1"/>
        </w:numPr>
        <w:spacing w:after="60" w:line="278.4" w:lineRule="auto"/>
        <w:ind w:left="425.19685039370086" w:hanging="360"/>
        <w:jc w:val="both"/>
        <w:rPr/>
      </w:pPr>
      <w:bookmarkStart w:colFirst="0" w:colLast="0" w:name="_heading=h.mxw2o7gfwjnt" w:id="5"/>
      <w:bookmarkEnd w:id="5"/>
      <w:r w:rsidDel="00000000" w:rsidR="00000000" w:rsidRPr="00000000">
        <w:rPr>
          <w:rtl w:val="0"/>
        </w:rPr>
        <w:t xml:space="preserve">Issuer Engagement &amp; Market Development</w:t>
      </w:r>
    </w:p>
    <w:p w:rsidR="00000000" w:rsidDel="00000000" w:rsidP="00000000" w:rsidRDefault="00000000" w:rsidRPr="00000000" w14:paraId="00000011">
      <w:pPr>
        <w:numPr>
          <w:ilvl w:val="0"/>
          <w:numId w:val="3"/>
        </w:numPr>
        <w:spacing w:after="60" w:before="0" w:line="278.4" w:lineRule="auto"/>
        <w:ind w:left="720" w:hanging="360"/>
        <w:jc w:val="both"/>
        <w:rPr>
          <w:sz w:val="22"/>
          <w:szCs w:val="22"/>
          <w:u w:val="none"/>
        </w:rPr>
      </w:pPr>
      <w:r w:rsidDel="00000000" w:rsidR="00000000" w:rsidRPr="00000000">
        <w:rPr>
          <w:sz w:val="22"/>
          <w:szCs w:val="22"/>
          <w:rtl w:val="0"/>
        </w:rPr>
        <w:t xml:space="preserve">Build, manage, and maintain a dynamic pipeline of sovereign and sub-sovereign blue bond issuance opportunities</w:t>
      </w:r>
      <w:r w:rsidDel="00000000" w:rsidR="00000000" w:rsidRPr="00000000">
        <w:rPr>
          <w:rtl w:val="0"/>
        </w:rPr>
      </w:r>
    </w:p>
    <w:p w:rsidR="00000000" w:rsidDel="00000000" w:rsidP="00000000" w:rsidRDefault="00000000" w:rsidRPr="00000000" w14:paraId="00000012">
      <w:pPr>
        <w:numPr>
          <w:ilvl w:val="0"/>
          <w:numId w:val="3"/>
        </w:numPr>
        <w:spacing w:after="60" w:before="0" w:line="278.4" w:lineRule="auto"/>
        <w:ind w:left="720" w:hanging="360"/>
        <w:jc w:val="both"/>
        <w:rPr>
          <w:sz w:val="22"/>
          <w:szCs w:val="22"/>
        </w:rPr>
      </w:pPr>
      <w:r w:rsidDel="00000000" w:rsidR="00000000" w:rsidRPr="00000000">
        <w:rPr>
          <w:sz w:val="22"/>
          <w:szCs w:val="22"/>
          <w:rtl w:val="0"/>
        </w:rPr>
        <w:t xml:space="preserve">Engage with government agencies, departments and related stakeholders to develop blue finance pathways that may lead to capital market opportunities</w:t>
      </w:r>
    </w:p>
    <w:p w:rsidR="00000000" w:rsidDel="00000000" w:rsidP="00000000" w:rsidRDefault="00000000" w:rsidRPr="00000000" w14:paraId="00000013">
      <w:pPr>
        <w:numPr>
          <w:ilvl w:val="0"/>
          <w:numId w:val="3"/>
        </w:numPr>
        <w:spacing w:after="60" w:before="0" w:line="278.4" w:lineRule="auto"/>
        <w:ind w:left="720" w:hanging="360"/>
        <w:jc w:val="both"/>
        <w:rPr>
          <w:sz w:val="22"/>
          <w:szCs w:val="22"/>
        </w:rPr>
      </w:pPr>
      <w:r w:rsidDel="00000000" w:rsidR="00000000" w:rsidRPr="00000000">
        <w:rPr>
          <w:sz w:val="22"/>
          <w:szCs w:val="22"/>
          <w:rtl w:val="0"/>
        </w:rPr>
        <w:t xml:space="preserve">Lead engagement with potential issuers to assess readiness, identify financing opportunities, and support credible project pipelines</w:t>
      </w:r>
    </w:p>
    <w:p w:rsidR="00000000" w:rsidDel="00000000" w:rsidP="00000000" w:rsidRDefault="00000000" w:rsidRPr="00000000" w14:paraId="00000014">
      <w:pPr>
        <w:numPr>
          <w:ilvl w:val="0"/>
          <w:numId w:val="3"/>
        </w:numPr>
        <w:spacing w:after="120" w:before="0" w:line="278.4" w:lineRule="auto"/>
        <w:ind w:left="720" w:hanging="360"/>
        <w:jc w:val="both"/>
        <w:rPr>
          <w:sz w:val="22"/>
          <w:szCs w:val="22"/>
          <w:u w:val="none"/>
        </w:rPr>
      </w:pPr>
      <w:r w:rsidDel="00000000" w:rsidR="00000000" w:rsidRPr="00000000">
        <w:rPr>
          <w:sz w:val="22"/>
          <w:szCs w:val="22"/>
          <w:rtl w:val="0"/>
        </w:rPr>
        <w:t xml:space="preserve">Support issuers in aligning financing structures with market demand and investor expectations</w:t>
      </w:r>
      <w:r w:rsidDel="00000000" w:rsidR="00000000" w:rsidRPr="00000000">
        <w:rPr>
          <w:rtl w:val="0"/>
        </w:rPr>
      </w:r>
    </w:p>
    <w:p w:rsidR="00000000" w:rsidDel="00000000" w:rsidP="00000000" w:rsidRDefault="00000000" w:rsidRPr="00000000" w14:paraId="00000015">
      <w:pPr>
        <w:pStyle w:val="Heading5"/>
        <w:numPr>
          <w:ilvl w:val="0"/>
          <w:numId w:val="1"/>
        </w:numPr>
        <w:spacing w:after="120" w:line="278.4" w:lineRule="auto"/>
        <w:ind w:left="425.19685039370086" w:hanging="360"/>
        <w:jc w:val="both"/>
        <w:rPr/>
      </w:pPr>
      <w:bookmarkStart w:colFirst="0" w:colLast="0" w:name="_heading=h.bofll6uvo158" w:id="6"/>
      <w:bookmarkEnd w:id="6"/>
      <w:r w:rsidDel="00000000" w:rsidR="00000000" w:rsidRPr="00000000">
        <w:rPr>
          <w:rtl w:val="0"/>
        </w:rPr>
        <w:t xml:space="preserve">Technical Support &amp; Standards Alignment</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8.4" w:lineRule="auto"/>
        <w:ind w:left="720" w:right="0" w:hanging="360"/>
        <w:jc w:val="both"/>
        <w:rPr>
          <w:sz w:val="22"/>
          <w:szCs w:val="22"/>
        </w:rPr>
      </w:pPr>
      <w:r w:rsidDel="00000000" w:rsidR="00000000" w:rsidRPr="00000000">
        <w:rPr>
          <w:sz w:val="22"/>
          <w:szCs w:val="22"/>
          <w:rtl w:val="0"/>
        </w:rPr>
        <w:t xml:space="preserve">Promote and support the adoption of global best practices and standards, including ICMA’s GSS+ Principles, IFC Blue Finance Guidelines, and UN Global Compact Practical Guidance for Blue Bonds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8.4" w:lineRule="auto"/>
        <w:ind w:left="720" w:right="0" w:hanging="360"/>
        <w:jc w:val="both"/>
        <w:rPr>
          <w:sz w:val="22"/>
          <w:szCs w:val="22"/>
        </w:rPr>
      </w:pPr>
      <w:r w:rsidDel="00000000" w:rsidR="00000000" w:rsidRPr="00000000">
        <w:rPr>
          <w:sz w:val="22"/>
          <w:szCs w:val="22"/>
          <w:rtl w:val="0"/>
        </w:rPr>
        <w:t xml:space="preserve">Provide guidance and advocacy on policy roadmaps and enabling environments in economies to promote blue finance and blue capital markets in conjunction with key stakeholders such as govt agencies, regulators and policy makers and think tanks and similar influencers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8.4" w:lineRule="auto"/>
        <w:ind w:left="720" w:right="0" w:hanging="360"/>
        <w:jc w:val="both"/>
        <w:rPr>
          <w:sz w:val="22"/>
          <w:szCs w:val="22"/>
        </w:rPr>
      </w:pPr>
      <w:r w:rsidDel="00000000" w:rsidR="00000000" w:rsidRPr="00000000">
        <w:rPr>
          <w:sz w:val="22"/>
          <w:szCs w:val="22"/>
          <w:rtl w:val="0"/>
        </w:rPr>
        <w:t xml:space="preserve">Provide technical guidance on pipeline generation, project selection, use-of-proceeds, sustainability-linked structures, and reporting requirements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8.4" w:lineRule="auto"/>
        <w:ind w:left="720" w:right="0" w:hanging="360"/>
        <w:jc w:val="both"/>
        <w:rPr>
          <w:sz w:val="22"/>
          <w:szCs w:val="22"/>
        </w:rPr>
      </w:pPr>
      <w:r w:rsidDel="00000000" w:rsidR="00000000" w:rsidRPr="00000000">
        <w:rPr>
          <w:sz w:val="22"/>
          <w:szCs w:val="22"/>
          <w:rtl w:val="0"/>
        </w:rPr>
        <w:t xml:space="preserve">Support framework development, external review processes, and post-issuance reporting and impact tracking</w:t>
      </w:r>
    </w:p>
    <w:p w:rsidR="00000000" w:rsidDel="00000000" w:rsidP="00000000" w:rsidRDefault="00000000" w:rsidRPr="00000000" w14:paraId="0000001A">
      <w:pPr>
        <w:pStyle w:val="Heading5"/>
        <w:numPr>
          <w:ilvl w:val="0"/>
          <w:numId w:val="1"/>
        </w:numPr>
        <w:spacing w:after="120" w:line="278.4" w:lineRule="auto"/>
        <w:ind w:left="425.19685039370086" w:hanging="360"/>
        <w:jc w:val="both"/>
        <w:rPr/>
      </w:pPr>
      <w:bookmarkStart w:colFirst="0" w:colLast="0" w:name="_heading=h.7zpz1fhe1pc4" w:id="7"/>
      <w:bookmarkEnd w:id="7"/>
      <w:r w:rsidDel="00000000" w:rsidR="00000000" w:rsidRPr="00000000">
        <w:rPr>
          <w:rtl w:val="0"/>
        </w:rPr>
        <w:t xml:space="preserve">Capacity Building &amp; Partnerships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8.4" w:lineRule="auto"/>
        <w:ind w:left="720" w:right="0" w:hanging="360"/>
        <w:jc w:val="both"/>
        <w:rPr>
          <w:sz w:val="22"/>
          <w:szCs w:val="22"/>
        </w:rPr>
      </w:pPr>
      <w:r w:rsidDel="00000000" w:rsidR="00000000" w:rsidRPr="00000000">
        <w:rPr>
          <w:sz w:val="22"/>
          <w:szCs w:val="22"/>
          <w:rtl w:val="0"/>
        </w:rPr>
        <w:t xml:space="preserve">Coordinate the development of toolkits, guidance materials, and enabling frameworks to strengthen issuer capacity and readiness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8.4" w:lineRule="auto"/>
        <w:ind w:left="720" w:right="0" w:hanging="360"/>
        <w:jc w:val="both"/>
        <w:rPr>
          <w:sz w:val="22"/>
          <w:szCs w:val="22"/>
        </w:rPr>
      </w:pPr>
      <w:r w:rsidDel="00000000" w:rsidR="00000000" w:rsidRPr="00000000">
        <w:rPr>
          <w:sz w:val="22"/>
          <w:szCs w:val="22"/>
          <w:rtl w:val="0"/>
        </w:rPr>
        <w:t xml:space="preserve">Mobilise and coordinate local and international experts, consultants, and implementation partners to deliver tailored technical assistance</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8.4" w:lineRule="auto"/>
        <w:ind w:left="720" w:right="0" w:hanging="360"/>
        <w:jc w:val="both"/>
        <w:rPr>
          <w:sz w:val="22"/>
          <w:szCs w:val="22"/>
        </w:rPr>
      </w:pPr>
      <w:r w:rsidDel="00000000" w:rsidR="00000000" w:rsidRPr="00000000">
        <w:rPr>
          <w:sz w:val="22"/>
          <w:szCs w:val="22"/>
          <w:rtl w:val="0"/>
        </w:rPr>
        <w:t xml:space="preserve">Collaborate with multilateral development banks, development partners, and other stakeholders to support credible issuance</w:t>
      </w:r>
    </w:p>
    <w:p w:rsidR="00000000" w:rsidDel="00000000" w:rsidP="00000000" w:rsidRDefault="00000000" w:rsidRPr="00000000" w14:paraId="0000001E">
      <w:pPr>
        <w:pStyle w:val="Heading5"/>
        <w:numPr>
          <w:ilvl w:val="0"/>
          <w:numId w:val="1"/>
        </w:numPr>
        <w:spacing w:after="120" w:line="278.4" w:lineRule="auto"/>
        <w:ind w:left="425.19685039370086" w:hanging="360"/>
        <w:jc w:val="both"/>
        <w:rPr/>
      </w:pPr>
      <w:bookmarkStart w:colFirst="0" w:colLast="0" w:name="_heading=h.bevsr4x9h4wq" w:id="8"/>
      <w:bookmarkEnd w:id="8"/>
      <w:r w:rsidDel="00000000" w:rsidR="00000000" w:rsidRPr="00000000">
        <w:rPr>
          <w:rtl w:val="0"/>
        </w:rPr>
        <w:t xml:space="preserve">Internal Collaboration &amp; Strategy</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8.4" w:lineRule="auto"/>
        <w:ind w:left="720" w:right="0" w:hanging="360"/>
        <w:jc w:val="both"/>
        <w:rPr>
          <w:sz w:val="22"/>
          <w:szCs w:val="22"/>
        </w:rPr>
      </w:pPr>
      <w:r w:rsidDel="00000000" w:rsidR="00000000" w:rsidRPr="00000000">
        <w:rPr>
          <w:sz w:val="22"/>
          <w:szCs w:val="22"/>
          <w:rtl w:val="0"/>
        </w:rPr>
        <w:t xml:space="preserve">Contribute to BBA’s market-building strategy, funding pitches, internal reporting, and knowledge sharing</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8.4" w:lineRule="auto"/>
        <w:ind w:left="720" w:right="0" w:hanging="360"/>
        <w:jc w:val="both"/>
        <w:rPr>
          <w:sz w:val="22"/>
          <w:szCs w:val="22"/>
        </w:rPr>
      </w:pPr>
      <w:r w:rsidDel="00000000" w:rsidR="00000000" w:rsidRPr="00000000">
        <w:rPr>
          <w:sz w:val="22"/>
          <w:szCs w:val="22"/>
          <w:rtl w:val="0"/>
        </w:rPr>
        <w:t xml:space="preserve">Work closely with colleagues across BBA to align issuer engagement activities with organisational priorities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8.4" w:lineRule="auto"/>
        <w:ind w:left="720" w:right="0" w:hanging="360"/>
        <w:jc w:val="both"/>
        <w:rPr>
          <w:sz w:val="22"/>
          <w:szCs w:val="22"/>
        </w:rPr>
      </w:pPr>
      <w:r w:rsidDel="00000000" w:rsidR="00000000" w:rsidRPr="00000000">
        <w:rPr>
          <w:sz w:val="22"/>
          <w:szCs w:val="22"/>
          <w:rtl w:val="0"/>
        </w:rPr>
        <w:t xml:space="preserve">As a small and growing organisation, contribute flexibly to cross-cutting initiatives that advance BBA’s mission</w:t>
      </w:r>
    </w:p>
    <w:p w:rsidR="00000000" w:rsidDel="00000000" w:rsidP="00000000" w:rsidRDefault="00000000" w:rsidRPr="00000000" w14:paraId="00000022">
      <w:pPr>
        <w:spacing w:after="120" w:before="0" w:line="278.4" w:lineRule="auto"/>
        <w:jc w:val="both"/>
        <w:rPr>
          <w:b w:val="1"/>
          <w:bCs w:val="1"/>
          <w:color w:val="4c94d8"/>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3"/>
        <w:spacing w:after="120" w:line="278.4" w:lineRule="auto"/>
        <w:jc w:val="both"/>
        <w:rPr>
          <w:sz w:val="32"/>
          <w:szCs w:val="32"/>
        </w:rPr>
      </w:pPr>
      <w:bookmarkStart w:colFirst="0" w:colLast="0" w:name="_heading=h.j92kx6jq7nco" w:id="9"/>
      <w:bookmarkEnd w:id="9"/>
      <w:r w:rsidDel="00000000" w:rsidR="00000000" w:rsidRPr="00000000">
        <w:rPr>
          <w:sz w:val="32"/>
          <w:szCs w:val="32"/>
          <w:rtl w:val="0"/>
        </w:rPr>
        <w:t xml:space="preserve">Person Specification</w:t>
      </w:r>
    </w:p>
    <w:p w:rsidR="00000000" w:rsidDel="00000000" w:rsidP="00000000" w:rsidRDefault="00000000" w:rsidRPr="00000000" w14:paraId="00000024">
      <w:pPr>
        <w:pStyle w:val="Heading4"/>
        <w:spacing w:after="0" w:line="278.4" w:lineRule="auto"/>
        <w:jc w:val="both"/>
        <w:rPr/>
      </w:pPr>
      <w:bookmarkStart w:colFirst="0" w:colLast="0" w:name="_heading=h.vf507yaydscb" w:id="10"/>
      <w:bookmarkEnd w:id="10"/>
      <w:r w:rsidDel="00000000" w:rsidR="00000000" w:rsidRPr="00000000">
        <w:rPr>
          <w:rtl w:val="0"/>
        </w:rPr>
        <w:t xml:space="preserve">Essential Experience &amp; Skills</w:t>
      </w:r>
    </w:p>
    <w:p w:rsidR="00000000" w:rsidDel="00000000" w:rsidP="00000000" w:rsidRDefault="00000000" w:rsidRPr="00000000" w14:paraId="00000025">
      <w:pPr>
        <w:spacing w:after="120" w:before="0" w:line="278.4" w:lineRule="auto"/>
        <w:rPr>
          <w:b w:val="1"/>
          <w:bCs w:val="1"/>
          <w:color w:val="196a24"/>
          <w:sz w:val="22"/>
          <w:szCs w:val="22"/>
        </w:rPr>
      </w:pPr>
      <w:r w:rsidDel="00000000" w:rsidR="00000000" w:rsidRPr="00000000">
        <w:rPr>
          <w:sz w:val="22"/>
          <w:szCs w:val="22"/>
          <w:rtl w:val="0"/>
        </w:rPr>
        <w:t xml:space="preserve">These are critical for success in the role: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8.4" w:lineRule="auto"/>
        <w:ind w:left="720" w:right="0" w:hanging="360"/>
        <w:jc w:val="both"/>
        <w:rPr>
          <w:sz w:val="22"/>
          <w:szCs w:val="22"/>
        </w:rPr>
      </w:pPr>
      <w:r w:rsidDel="00000000" w:rsidR="00000000" w:rsidRPr="00000000">
        <w:rPr>
          <w:sz w:val="22"/>
          <w:szCs w:val="22"/>
          <w:rtl w:val="0"/>
        </w:rPr>
        <w:t xml:space="preserve">≥ 7 years’ relevant experience in finance, ocean/climate, or public- / private-sector engagement</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8.4" w:lineRule="auto"/>
        <w:ind w:left="720" w:right="0" w:hanging="360"/>
        <w:jc w:val="both"/>
        <w:rPr>
          <w:sz w:val="22"/>
          <w:szCs w:val="22"/>
        </w:rPr>
      </w:pPr>
      <w:r w:rsidDel="00000000" w:rsidR="00000000" w:rsidRPr="00000000">
        <w:rPr>
          <w:sz w:val="22"/>
          <w:szCs w:val="22"/>
          <w:rtl w:val="0"/>
        </w:rPr>
        <w:t xml:space="preserve">Strong understanding of sustainable bond and/or loan issuance, including project selection, technical screening, and reporting requirements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8.4" w:lineRule="auto"/>
        <w:ind w:left="720" w:right="0" w:hanging="360"/>
        <w:jc w:val="both"/>
        <w:rPr>
          <w:sz w:val="22"/>
          <w:szCs w:val="22"/>
        </w:rPr>
      </w:pPr>
      <w:r w:rsidDel="00000000" w:rsidR="00000000" w:rsidRPr="00000000">
        <w:rPr>
          <w:sz w:val="22"/>
          <w:szCs w:val="22"/>
          <w:rtl w:val="0"/>
        </w:rPr>
        <w:t xml:space="preserve">In-depth knowledge of sustainable finance taxonomies and frameworks at international, regional, and/or national levels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8.4" w:lineRule="auto"/>
        <w:ind w:left="720" w:right="0" w:hanging="360"/>
        <w:jc w:val="both"/>
        <w:rPr>
          <w:sz w:val="22"/>
          <w:szCs w:val="22"/>
        </w:rPr>
      </w:pPr>
      <w:r w:rsidDel="00000000" w:rsidR="00000000" w:rsidRPr="00000000">
        <w:rPr>
          <w:sz w:val="22"/>
          <w:szCs w:val="22"/>
          <w:rtl w:val="0"/>
        </w:rPr>
        <w:t xml:space="preserve">Proven experience engaging with governments, public institutions and development finance stakeholders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8.4" w:lineRule="auto"/>
        <w:ind w:left="720" w:right="0" w:hanging="360"/>
        <w:jc w:val="both"/>
        <w:rPr>
          <w:sz w:val="22"/>
          <w:szCs w:val="22"/>
        </w:rPr>
      </w:pPr>
      <w:r w:rsidDel="00000000" w:rsidR="00000000" w:rsidRPr="00000000">
        <w:rPr>
          <w:sz w:val="22"/>
          <w:szCs w:val="22"/>
          <w:rtl w:val="0"/>
        </w:rPr>
        <w:t xml:space="preserve">Strong professional networks and the ability to mobilise expertise across Europe, Africa, and/or the Americas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8.4" w:lineRule="auto"/>
        <w:ind w:left="720" w:right="0" w:hanging="360"/>
        <w:jc w:val="both"/>
        <w:rPr>
          <w:sz w:val="22"/>
          <w:szCs w:val="22"/>
        </w:rPr>
      </w:pPr>
      <w:r w:rsidDel="00000000" w:rsidR="00000000" w:rsidRPr="00000000">
        <w:rPr>
          <w:sz w:val="22"/>
          <w:szCs w:val="22"/>
          <w:rtl w:val="0"/>
        </w:rPr>
        <w:t xml:space="preserve">Excellent written and spoken English. Proficiency in other languages especially French and Spanish would be an advantage given the regions covered</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8.4" w:lineRule="auto"/>
        <w:ind w:left="720" w:right="0" w:hanging="360"/>
        <w:jc w:val="both"/>
        <w:rPr>
          <w:sz w:val="22"/>
          <w:szCs w:val="22"/>
        </w:rPr>
      </w:pPr>
      <w:r w:rsidDel="00000000" w:rsidR="00000000" w:rsidRPr="00000000">
        <w:rPr>
          <w:sz w:val="22"/>
          <w:szCs w:val="22"/>
          <w:rtl w:val="0"/>
        </w:rPr>
        <w:t xml:space="preserve">Strong interpersonal, analytical, and organisational skills; detail-oriented, pragmatic, and comfortable working hands-on in a fast-paced environment</w:t>
      </w:r>
    </w:p>
    <w:p w:rsidR="00000000" w:rsidDel="00000000" w:rsidP="00000000" w:rsidRDefault="00000000" w:rsidRPr="00000000" w14:paraId="0000002D">
      <w:pPr>
        <w:pStyle w:val="Heading4"/>
        <w:spacing w:after="0" w:line="278.4" w:lineRule="auto"/>
        <w:jc w:val="both"/>
        <w:rPr/>
      </w:pPr>
      <w:bookmarkStart w:colFirst="0" w:colLast="0" w:name="_heading=h.y406nxxooo74" w:id="11"/>
      <w:bookmarkEnd w:id="11"/>
      <w:r w:rsidDel="00000000" w:rsidR="00000000" w:rsidRPr="00000000">
        <w:rPr>
          <w:rtl w:val="0"/>
        </w:rPr>
        <w:t xml:space="preserve">Desirable Experience</w:t>
      </w:r>
    </w:p>
    <w:p w:rsidR="00000000" w:rsidDel="00000000" w:rsidP="00000000" w:rsidRDefault="00000000" w:rsidRPr="00000000" w14:paraId="0000002E">
      <w:pPr>
        <w:spacing w:after="120" w:before="0" w:line="278.4" w:lineRule="auto"/>
        <w:ind w:left="0" w:firstLine="0"/>
        <w:rPr>
          <w:b w:val="1"/>
          <w:bCs w:val="1"/>
          <w:color w:val="196a24"/>
          <w:sz w:val="22"/>
          <w:szCs w:val="22"/>
        </w:rPr>
      </w:pPr>
      <w:r w:rsidDel="00000000" w:rsidR="00000000" w:rsidRPr="00000000">
        <w:rPr>
          <w:sz w:val="22"/>
          <w:szCs w:val="22"/>
          <w:rtl w:val="0"/>
        </w:rPr>
        <w:t xml:space="preserve">These add value but are not mandatory:</w:t>
      </w:r>
      <w:r w:rsidDel="00000000" w:rsidR="00000000" w:rsidRPr="00000000">
        <w:rPr>
          <w:rtl w:val="0"/>
        </w:rPr>
      </w:r>
    </w:p>
    <w:p w:rsidR="00000000" w:rsidDel="00000000" w:rsidP="00000000" w:rsidRDefault="00000000" w:rsidRPr="00000000" w14:paraId="0000002F">
      <w:pPr>
        <w:numPr>
          <w:ilvl w:val="0"/>
          <w:numId w:val="5"/>
        </w:numPr>
        <w:spacing w:after="120" w:before="0" w:line="278.4" w:lineRule="auto"/>
        <w:ind w:left="720" w:hanging="360"/>
        <w:jc w:val="both"/>
        <w:rPr>
          <w:sz w:val="22"/>
          <w:szCs w:val="22"/>
          <w:u w:val="none"/>
        </w:rPr>
      </w:pPr>
      <w:r w:rsidDel="00000000" w:rsidR="00000000" w:rsidRPr="00000000">
        <w:rPr>
          <w:sz w:val="22"/>
          <w:szCs w:val="22"/>
          <w:rtl w:val="0"/>
        </w:rPr>
        <w:t xml:space="preserve">Experience developing or implementing sustainable finance taxonomies or labelled debt frameworks</w:t>
      </w:r>
      <w:r w:rsidDel="00000000" w:rsidR="00000000" w:rsidRPr="00000000">
        <w:rPr>
          <w:rtl w:val="0"/>
        </w:rPr>
      </w:r>
    </w:p>
    <w:p w:rsidR="00000000" w:rsidDel="00000000" w:rsidP="00000000" w:rsidRDefault="00000000" w:rsidRPr="00000000" w14:paraId="00000030">
      <w:pPr>
        <w:numPr>
          <w:ilvl w:val="0"/>
          <w:numId w:val="5"/>
        </w:numPr>
        <w:spacing w:after="120" w:before="0" w:line="278.4" w:lineRule="auto"/>
        <w:ind w:left="720" w:hanging="360"/>
        <w:jc w:val="both"/>
        <w:rPr>
          <w:sz w:val="22"/>
          <w:szCs w:val="22"/>
          <w:u w:val="none"/>
        </w:rPr>
      </w:pPr>
      <w:r w:rsidDel="00000000" w:rsidR="00000000" w:rsidRPr="00000000">
        <w:rPr>
          <w:sz w:val="22"/>
          <w:szCs w:val="22"/>
          <w:rtl w:val="0"/>
        </w:rPr>
        <w:t xml:space="preserve">Previous work with multilateral development banks, sovereign or sub-sovereign issuers, or emerging-market initiatives</w:t>
      </w:r>
      <w:r w:rsidDel="00000000" w:rsidR="00000000" w:rsidRPr="00000000">
        <w:rPr>
          <w:rtl w:val="0"/>
        </w:rPr>
      </w:r>
    </w:p>
    <w:p w:rsidR="00000000" w:rsidDel="00000000" w:rsidP="00000000" w:rsidRDefault="00000000" w:rsidRPr="00000000" w14:paraId="00000031">
      <w:pPr>
        <w:pStyle w:val="Heading2"/>
        <w:spacing w:after="120" w:line="278.4" w:lineRule="auto"/>
        <w:rPr/>
      </w:pPr>
      <w:bookmarkStart w:colFirst="0" w:colLast="0" w:name="_heading=h.zf25ox2gj1j" w:id="12"/>
      <w:bookmarkEnd w:id="12"/>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2"/>
        <w:spacing w:after="120" w:line="278.4" w:lineRule="auto"/>
        <w:rPr/>
      </w:pPr>
      <w:bookmarkStart w:colFirst="0" w:colLast="0" w:name="_heading=h.t20cc0is3uww" w:id="13"/>
      <w:bookmarkEnd w:id="13"/>
      <w:r w:rsidDel="00000000" w:rsidR="00000000" w:rsidRPr="00000000">
        <w:rPr>
          <w:rtl w:val="0"/>
        </w:rPr>
        <w:t xml:space="preserve">Attributes we value</w:t>
      </w:r>
    </w:p>
    <w:p w:rsidR="00000000" w:rsidDel="00000000" w:rsidP="00000000" w:rsidRDefault="00000000" w:rsidRPr="00000000" w14:paraId="00000033">
      <w:pPr>
        <w:numPr>
          <w:ilvl w:val="0"/>
          <w:numId w:val="4"/>
        </w:numPr>
        <w:spacing w:after="120" w:before="0" w:line="278.4" w:lineRule="auto"/>
        <w:ind w:left="708.6614173228347" w:hanging="360"/>
        <w:rPr>
          <w:sz w:val="22"/>
          <w:szCs w:val="22"/>
        </w:rPr>
      </w:pPr>
      <w:r w:rsidDel="00000000" w:rsidR="00000000" w:rsidRPr="00000000">
        <w:rPr>
          <w:sz w:val="22"/>
          <w:szCs w:val="22"/>
          <w:rtl w:val="0"/>
        </w:rPr>
        <w:t xml:space="preserve">A collaborative, proactive working style</w:t>
      </w:r>
    </w:p>
    <w:p w:rsidR="00000000" w:rsidDel="00000000" w:rsidP="00000000" w:rsidRDefault="00000000" w:rsidRPr="00000000" w14:paraId="00000034">
      <w:pPr>
        <w:numPr>
          <w:ilvl w:val="0"/>
          <w:numId w:val="4"/>
        </w:numPr>
        <w:spacing w:after="120" w:before="0" w:line="278.4" w:lineRule="auto"/>
        <w:ind w:left="708.6614173228347" w:hanging="360"/>
        <w:rPr>
          <w:sz w:val="22"/>
          <w:szCs w:val="22"/>
        </w:rPr>
      </w:pPr>
      <w:r w:rsidDel="00000000" w:rsidR="00000000" w:rsidRPr="00000000">
        <w:rPr>
          <w:sz w:val="22"/>
          <w:szCs w:val="22"/>
          <w:rtl w:val="0"/>
        </w:rPr>
        <w:t xml:space="preserve">Ability to thrive in ambiguity and a fast-moving environment</w:t>
      </w:r>
    </w:p>
    <w:p w:rsidR="00000000" w:rsidDel="00000000" w:rsidP="00000000" w:rsidRDefault="00000000" w:rsidRPr="00000000" w14:paraId="00000035">
      <w:pPr>
        <w:numPr>
          <w:ilvl w:val="0"/>
          <w:numId w:val="4"/>
        </w:numPr>
        <w:spacing w:after="120" w:before="0" w:line="278.4" w:lineRule="auto"/>
        <w:ind w:left="708.6614173228347" w:hanging="360"/>
        <w:rPr>
          <w:sz w:val="22"/>
          <w:szCs w:val="22"/>
        </w:rPr>
      </w:pPr>
      <w:r w:rsidDel="00000000" w:rsidR="00000000" w:rsidRPr="00000000">
        <w:rPr>
          <w:sz w:val="22"/>
          <w:szCs w:val="22"/>
          <w:rtl w:val="0"/>
        </w:rPr>
        <w:t xml:space="preserve">Commitment to the mission of advancing ocean and climate solutions</w:t>
      </w:r>
    </w:p>
    <w:p w:rsidR="00000000" w:rsidDel="00000000" w:rsidP="00000000" w:rsidRDefault="00000000" w:rsidRPr="00000000" w14:paraId="00000036">
      <w:pPr>
        <w:pStyle w:val="Heading2"/>
        <w:spacing w:after="120" w:line="278.4" w:lineRule="auto"/>
        <w:rPr/>
      </w:pPr>
      <w:bookmarkStart w:colFirst="0" w:colLast="0" w:name="_heading=h.6vu5yna2nsw8" w:id="14"/>
      <w:bookmarkEnd w:id="14"/>
      <w:r w:rsidDel="00000000" w:rsidR="00000000" w:rsidRPr="00000000">
        <w:rPr>
          <w:rtl w:val="0"/>
        </w:rPr>
        <w:t xml:space="preserve">What we offer</w:t>
      </w:r>
    </w:p>
    <w:p w:rsidR="00000000" w:rsidDel="00000000" w:rsidP="00000000" w:rsidRDefault="00000000" w:rsidRPr="00000000" w14:paraId="00000037">
      <w:pPr>
        <w:numPr>
          <w:ilvl w:val="0"/>
          <w:numId w:val="4"/>
        </w:numPr>
        <w:spacing w:after="120" w:before="0" w:line="278.4" w:lineRule="auto"/>
        <w:ind w:left="708.6614173228347" w:hanging="360"/>
        <w:rPr>
          <w:sz w:val="22"/>
          <w:szCs w:val="22"/>
        </w:rPr>
      </w:pPr>
      <w:r w:rsidDel="00000000" w:rsidR="00000000" w:rsidRPr="00000000">
        <w:rPr>
          <w:sz w:val="22"/>
          <w:szCs w:val="22"/>
          <w:rtl w:val="0"/>
        </w:rPr>
        <w:t xml:space="preserve">A unique opportunity to help shape a high-impact global initiative</w:t>
      </w:r>
    </w:p>
    <w:p w:rsidR="00000000" w:rsidDel="00000000" w:rsidP="00000000" w:rsidRDefault="00000000" w:rsidRPr="00000000" w14:paraId="00000038">
      <w:pPr>
        <w:numPr>
          <w:ilvl w:val="0"/>
          <w:numId w:val="4"/>
        </w:numPr>
        <w:spacing w:after="120" w:before="0" w:line="278.4" w:lineRule="auto"/>
        <w:ind w:left="708.6614173228347" w:hanging="360"/>
        <w:rPr>
          <w:sz w:val="22"/>
          <w:szCs w:val="22"/>
        </w:rPr>
      </w:pPr>
      <w:r w:rsidDel="00000000" w:rsidR="00000000" w:rsidRPr="00000000">
        <w:rPr>
          <w:sz w:val="22"/>
          <w:szCs w:val="22"/>
          <w:rtl w:val="0"/>
        </w:rPr>
        <w:t xml:space="preserve">A dynamic and flexible working environment</w:t>
      </w:r>
    </w:p>
    <w:p w:rsidR="00000000" w:rsidDel="00000000" w:rsidP="00000000" w:rsidRDefault="00000000" w:rsidRPr="00000000" w14:paraId="00000039">
      <w:pPr>
        <w:numPr>
          <w:ilvl w:val="0"/>
          <w:numId w:val="4"/>
        </w:numPr>
        <w:spacing w:after="120" w:before="0" w:line="278.4" w:lineRule="auto"/>
        <w:ind w:left="708.6614173228347" w:hanging="360"/>
        <w:rPr>
          <w:sz w:val="22"/>
          <w:szCs w:val="22"/>
        </w:rPr>
      </w:pPr>
      <w:r w:rsidDel="00000000" w:rsidR="00000000" w:rsidRPr="00000000">
        <w:rPr>
          <w:sz w:val="22"/>
          <w:szCs w:val="22"/>
          <w:rtl w:val="0"/>
        </w:rPr>
        <w:t xml:space="preserve">The chance to work alongside leading ocean, water, climate, and finance experts</w:t>
      </w:r>
    </w:p>
    <w:p w:rsidR="00000000" w:rsidDel="00000000" w:rsidP="00000000" w:rsidRDefault="00000000" w:rsidRPr="00000000" w14:paraId="0000003A">
      <w:pPr>
        <w:pStyle w:val="Heading3"/>
        <w:rPr>
          <w:sz w:val="28"/>
          <w:szCs w:val="28"/>
        </w:rPr>
      </w:pPr>
      <w:bookmarkStart w:colFirst="0" w:colLast="0" w:name="_heading=h.i6330s6vj4m0" w:id="15"/>
      <w:bookmarkEnd w:id="15"/>
      <w:r w:rsidDel="00000000" w:rsidR="00000000" w:rsidRPr="00000000">
        <w:rPr>
          <w:rtl w:val="0"/>
        </w:rPr>
        <w:t xml:space="preserve">How to apply</w:t>
      </w:r>
      <w:r w:rsidDel="00000000" w:rsidR="00000000" w:rsidRPr="00000000">
        <w:rPr>
          <w:rtl w:val="0"/>
        </w:rPr>
      </w:r>
    </w:p>
    <w:p w:rsidR="00000000" w:rsidDel="00000000" w:rsidP="00000000" w:rsidRDefault="00000000" w:rsidRPr="00000000" w14:paraId="0000003B">
      <w:pPr>
        <w:spacing w:after="120" w:before="0" w:line="278.4" w:lineRule="auto"/>
        <w:rPr>
          <w:sz w:val="22"/>
          <w:szCs w:val="22"/>
        </w:rPr>
      </w:pPr>
      <w:r w:rsidDel="00000000" w:rsidR="00000000" w:rsidRPr="00000000">
        <w:rPr>
          <w:sz w:val="22"/>
          <w:szCs w:val="22"/>
          <w:rtl w:val="0"/>
        </w:rPr>
        <w:t xml:space="preserve">Candidates must be eligible to work in the country they choose to live in. The Blue Bond Accelerator cannot sponsor any visa applications.</w:t>
      </w:r>
    </w:p>
    <w:p w:rsidR="00000000" w:rsidDel="00000000" w:rsidP="00000000" w:rsidRDefault="00000000" w:rsidRPr="00000000" w14:paraId="0000003C">
      <w:pPr>
        <w:spacing w:after="120" w:before="0" w:line="278.4" w:lineRule="auto"/>
        <w:rPr>
          <w:sz w:val="22"/>
          <w:szCs w:val="22"/>
        </w:rPr>
      </w:pPr>
      <w:r w:rsidDel="00000000" w:rsidR="00000000" w:rsidRPr="00000000">
        <w:rPr>
          <w:sz w:val="22"/>
          <w:szCs w:val="22"/>
          <w:rtl w:val="0"/>
        </w:rPr>
        <w:t xml:space="preserve">Please upload your CV, a short cover letter explaining why you are interested in the role and provide answers to the questions included in </w:t>
      </w:r>
      <w:hyperlink r:id="rId7">
        <w:r w:rsidDel="00000000" w:rsidR="00000000" w:rsidRPr="00000000">
          <w:rPr>
            <w:b w:val="1"/>
            <w:bCs w:val="1"/>
            <w:color w:val="1155cc"/>
            <w:sz w:val="22"/>
            <w:szCs w:val="22"/>
            <w:u w:val="single"/>
            <w:rtl w:val="0"/>
          </w:rPr>
          <w:t xml:space="preserve">our recruitment portal here</w:t>
        </w:r>
      </w:hyperlink>
      <w:r w:rsidDel="00000000" w:rsidR="00000000" w:rsidRPr="00000000">
        <w:rPr>
          <w:sz w:val="22"/>
          <w:szCs w:val="22"/>
          <w:rtl w:val="0"/>
        </w:rPr>
        <w:t xml:space="preserve">. </w:t>
      </w:r>
    </w:p>
    <w:p w:rsidR="00000000" w:rsidDel="00000000" w:rsidP="00000000" w:rsidRDefault="00000000" w:rsidRPr="00000000" w14:paraId="0000003D">
      <w:pPr>
        <w:spacing w:after="120" w:before="0" w:line="278.4" w:lineRule="auto"/>
        <w:rPr>
          <w:sz w:val="22"/>
          <w:szCs w:val="22"/>
        </w:rPr>
      </w:pPr>
      <w:r w:rsidDel="00000000" w:rsidR="00000000" w:rsidRPr="00000000">
        <w:rPr>
          <w:sz w:val="22"/>
          <w:szCs w:val="22"/>
          <w:rtl w:val="0"/>
        </w:rPr>
        <w:t xml:space="preserve">The closing date for applications is January 31</w:t>
      </w:r>
      <w:r w:rsidDel="00000000" w:rsidR="00000000" w:rsidRPr="00000000">
        <w:rPr>
          <w:sz w:val="22"/>
          <w:szCs w:val="22"/>
          <w:vertAlign w:val="superscript"/>
          <w:rtl w:val="0"/>
        </w:rPr>
        <w:t xml:space="preserve">st</w:t>
      </w:r>
      <w:r w:rsidDel="00000000" w:rsidR="00000000" w:rsidRPr="00000000">
        <w:rPr>
          <w:sz w:val="22"/>
          <w:szCs w:val="22"/>
          <w:rtl w:val="0"/>
        </w:rPr>
        <w:t xml:space="preserve"> 2026 with interviews taking place in February. Note, applications will be assessed on a rolling basis until the closing date.</w:t>
      </w:r>
    </w:p>
    <w:p w:rsidR="00000000" w:rsidDel="00000000" w:rsidP="00000000" w:rsidRDefault="00000000" w:rsidRPr="00000000" w14:paraId="0000003E">
      <w:pPr>
        <w:pStyle w:val="Heading3"/>
        <w:spacing w:after="120" w:line="278.4" w:lineRule="auto"/>
        <w:rPr/>
      </w:pPr>
      <w:bookmarkStart w:colFirst="0" w:colLast="0" w:name="_heading=h.5xwgt8krgnal" w:id="16"/>
      <w:bookmarkEnd w:id="16"/>
      <w:r w:rsidDel="00000000" w:rsidR="00000000" w:rsidRPr="00000000">
        <w:rPr>
          <w:rtl w:val="0"/>
        </w:rPr>
        <w:t xml:space="preserve">Before you apply </w:t>
      </w:r>
    </w:p>
    <w:p w:rsidR="00000000" w:rsidDel="00000000" w:rsidP="00000000" w:rsidRDefault="00000000" w:rsidRPr="00000000" w14:paraId="0000003F">
      <w:pPr>
        <w:spacing w:after="120" w:before="0" w:line="278.4" w:lineRule="auto"/>
        <w:rPr>
          <w:b w:val="1"/>
          <w:bCs w:val="1"/>
          <w:color w:val="4c94d8"/>
        </w:rPr>
      </w:pPr>
      <w:r w:rsidDel="00000000" w:rsidR="00000000" w:rsidRPr="00000000">
        <w:rPr>
          <w:sz w:val="22"/>
          <w:szCs w:val="22"/>
          <w:rtl w:val="0"/>
        </w:rPr>
        <w:t xml:space="preserve">We’ll only use the information you provide to process your application. By uploading your CV and covering letter, you are permitting the BBA to use the information you have provided for recruitment purposes. </w:t>
      </w:r>
      <w:r w:rsidDel="00000000" w:rsidR="00000000" w:rsidRPr="00000000">
        <w:rPr>
          <w:rtl w:val="0"/>
        </w:rPr>
      </w:r>
    </w:p>
    <w:sectPr>
      <w:head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drawing>
        <wp:inline distB="0" distT="0" distL="114300" distR="114300">
          <wp:extent cx="1677629" cy="803922"/>
          <wp:effectExtent b="0" l="0" r="0" t="0"/>
          <wp:docPr descr="A close up of a logo&#10;&#10;AI-generated content may be incorrect." id="2" name="image1.png"/>
          <a:graphic>
            <a:graphicData uri="http://schemas.openxmlformats.org/drawingml/2006/picture">
              <pic:pic>
                <pic:nvPicPr>
                  <pic:cNvPr descr="A close up of a logo&#10;&#10;AI-generated content may be incorrect." id="0" name="image1.png"/>
                  <pic:cNvPicPr preferRelativeResize="0"/>
                </pic:nvPicPr>
                <pic:blipFill>
                  <a:blip r:embed="rId1"/>
                  <a:srcRect b="0" l="0" r="0" t="0"/>
                  <a:stretch>
                    <a:fillRect/>
                  </a:stretch>
                </pic:blipFill>
                <pic:spPr>
                  <a:xfrm>
                    <a:off x="0" y="0"/>
                    <a:ext cx="1677629" cy="8039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78.4" w:lineRule="auto"/>
    </w:pPr>
    <w:rPr>
      <w:b w:val="1"/>
      <w:bCs w:val="1"/>
      <w:sz w:val="36"/>
      <w:szCs w:val="36"/>
    </w:rPr>
  </w:style>
  <w:style w:type="paragraph" w:styleId="Heading2">
    <w:name w:val="heading 2"/>
    <w:basedOn w:val="Normal"/>
    <w:next w:val="Normal"/>
    <w:pPr>
      <w:keepNext w:val="1"/>
      <w:keepLines w:val="1"/>
      <w:spacing w:line="278.4" w:lineRule="auto"/>
      <w:jc w:val="both"/>
    </w:pPr>
    <w:rPr>
      <w:b w:val="1"/>
      <w:bCs w:val="1"/>
      <w:color w:val="4c94d8"/>
      <w:sz w:val="28"/>
      <w:szCs w:val="28"/>
    </w:rPr>
  </w:style>
  <w:style w:type="paragraph" w:styleId="Heading3">
    <w:name w:val="heading 3"/>
    <w:basedOn w:val="Normal"/>
    <w:next w:val="Normal"/>
    <w:pPr>
      <w:keepNext w:val="1"/>
      <w:keepLines w:val="1"/>
      <w:spacing w:after="120" w:line="278.4" w:lineRule="auto"/>
      <w:jc w:val="both"/>
    </w:pPr>
    <w:rPr>
      <w:b w:val="1"/>
      <w:bCs w:val="1"/>
      <w:color w:val="0e2740"/>
      <w:sz w:val="28"/>
      <w:szCs w:val="28"/>
    </w:rPr>
  </w:style>
  <w:style w:type="paragraph" w:styleId="Heading4">
    <w:name w:val="heading 4"/>
    <w:basedOn w:val="Normal"/>
    <w:next w:val="Normal"/>
    <w:pPr>
      <w:keepNext w:val="1"/>
      <w:keepLines w:val="1"/>
      <w:spacing w:after="120" w:line="278.4" w:lineRule="auto"/>
      <w:jc w:val="both"/>
    </w:pPr>
    <w:rPr>
      <w:b w:val="1"/>
      <w:bCs w:val="1"/>
      <w:color w:val="196a24"/>
      <w:sz w:val="22"/>
      <w:szCs w:val="22"/>
    </w:rPr>
  </w:style>
  <w:style w:type="paragraph" w:styleId="Heading5">
    <w:name w:val="heading 5"/>
    <w:basedOn w:val="Normal"/>
    <w:next w:val="Normal"/>
    <w:pPr>
      <w:keepNext w:val="1"/>
      <w:keepLines w:val="1"/>
      <w:spacing w:after="120" w:line="278.4" w:lineRule="auto"/>
      <w:ind w:left="425.19685039370086" w:hanging="360"/>
      <w:jc w:val="both"/>
    </w:pPr>
    <w:rPr>
      <w:b w:val="1"/>
      <w:bCs w:val="1"/>
      <w:color w:val="0e2740"/>
      <w:sz w:val="22"/>
      <w:szCs w:val="22"/>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ListParagraph">
    <w:name w:val="List Paragraph"/>
    <w:basedOn w:val="Normal"/>
    <w:uiPriority w:val="34"/>
    <w:qFormat w:val="1"/>
    <w:rsid w:val="097DB0E4"/>
    <w:pPr>
      <w:spacing/>
      <w:ind w:left="720"/>
      <w:contextualSpacing w:val="1"/>
    </w:pPr>
  </w:style>
  <w:style w:type="character" w:styleId="Hyperlink">
    <w:name w:val="Hyperlink"/>
    <w:basedOn w:val="DefaultParagraphFont"/>
    <w:uiPriority w:val="99"/>
    <w:unhideWhenUsed w:val="1"/>
    <w:rsid w:val="42BF125D"/>
    <w:rPr>
      <w:color w:val="467886"/>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TzUz7oZYk7d3VhXx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u9Xwo6n6YtscQVuHWCXyvJlRQ==">CgMxLjAyDmguNzg4bzZlZ3R1a3VhMg5oLm5yNG90OGp0cnBzbjIOaC5heWVqbDNwOXJmNTMyDmgud3I3MHRpaWJsbTJ0Mg5oLmsybDJla2FvOHFidDIOaC5teHcybzdnZndqbnQyDmguYm9mbGw2dXZvMTU4Mg5oLjd6cHoxZmhlMXBjNDIOaC5iZXZzcjR4OWg0d3EyDmguajkya3g2anE3bmNvMg5oLnZmNTA3eWF5ZHNjYjIOaC55NDA2bnh4b29vNzQyDWguemYyNW94MmdqMWoyDmgudDIwY2MwaXMzdXd3Mg5oLjZ2dTV5bmEybnN3ODIOaC5pNjMzMHM2dmo0bTAyDmguNXh3Z3Q4a3JnbmFsOABqKQoUc3VnZ2VzdC5nMGg5cmV6aDZxYWkSEUZyZWQgUHVja2xlIEhvYmJzciExbVp5OUlYU1JEa2c2VzJXdjZzU3lONUw1Ykp4eEUye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2025-05-19T13:29:09.0000000Z</dcterms:created>
  <dc:creator>lambcuk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0x01010094A4DE26CDF2284E9333FD14ABD847BA</vt:lpwstr>
  </property>
  <property fmtid="{D5CDD505-2E9C-101B-9397-08002B2CF9AE}" pid="3" name="MediaServiceImageTags">
    <vt:lpwstr/>
  </property>
</Properties>
</file>