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20" w:before="0" w:line="278.4" w:lineRule="auto"/>
        <w:jc w:val="both"/>
        <w:rPr>
          <w:b w:val="1"/>
          <w:bCs w:val="1"/>
          <w:color w:val="0e2740"/>
          <w:sz w:val="32"/>
          <w:szCs w:val="32"/>
        </w:rPr>
      </w:pPr>
      <w:bookmarkStart w:colFirst="0" w:colLast="0" w:name="_q4swf631aow7" w:id="0"/>
      <w:bookmarkEnd w:id="0"/>
      <w:r w:rsidDel="00000000" w:rsidR="00000000" w:rsidRPr="00000000">
        <w:rPr>
          <w:b w:val="1"/>
          <w:bCs w:val="1"/>
          <w:color w:val="0e2740"/>
          <w:sz w:val="32"/>
          <w:szCs w:val="32"/>
          <w:rtl w:val="0"/>
        </w:rPr>
        <w:t xml:space="preserve">Request for Proposals (RfP): </w:t>
      </w:r>
    </w:p>
    <w:p w:rsidR="00000000" w:rsidDel="00000000" w:rsidP="00000000" w:rsidRDefault="00000000" w:rsidRPr="00000000" w14:paraId="00000002">
      <w:pPr>
        <w:pStyle w:val="Subtitle"/>
        <w:keepNext w:val="0"/>
        <w:keepLines w:val="0"/>
        <w:spacing w:after="240" w:before="0" w:line="278.4" w:lineRule="auto"/>
        <w:jc w:val="both"/>
        <w:rPr/>
      </w:pPr>
      <w:bookmarkStart w:colFirst="0" w:colLast="0" w:name="_k8e0l67p2sks" w:id="1"/>
      <w:bookmarkEnd w:id="1"/>
      <w:r w:rsidDel="00000000" w:rsidR="00000000" w:rsidRPr="00000000">
        <w:rPr>
          <w:rtl w:val="0"/>
        </w:rPr>
        <w:t xml:space="preserve">Development of Fixed Income Market Engagement Strategy for the Blue Bond Accelerator</w:t>
      </w:r>
    </w:p>
    <w:p w:rsidR="00000000" w:rsidDel="00000000" w:rsidP="00000000" w:rsidRDefault="00000000" w:rsidRPr="00000000" w14:paraId="00000003">
      <w:pPr>
        <w:pStyle w:val="Heading2"/>
        <w:keepNext w:val="0"/>
        <w:keepLines w:val="0"/>
        <w:numPr>
          <w:ilvl w:val="0"/>
          <w:numId w:val="8"/>
        </w:numPr>
        <w:spacing w:after="120" w:before="0" w:line="278.4" w:lineRule="auto"/>
        <w:ind w:left="425.19685039370086" w:hanging="360"/>
        <w:jc w:val="both"/>
        <w:rPr>
          <w:b w:val="1"/>
          <w:bCs w:val="1"/>
          <w:color w:val="4c94d8"/>
          <w:sz w:val="28"/>
          <w:szCs w:val="28"/>
        </w:rPr>
      </w:pPr>
      <w:bookmarkStart w:colFirst="0" w:colLast="0" w:name="_sfavedkdexo3" w:id="2"/>
      <w:bookmarkEnd w:id="2"/>
      <w:r w:rsidDel="00000000" w:rsidR="00000000" w:rsidRPr="00000000">
        <w:rPr>
          <w:b w:val="1"/>
          <w:bCs w:val="1"/>
          <w:color w:val="4c94d8"/>
          <w:sz w:val="28"/>
          <w:szCs w:val="28"/>
          <w:rtl w:val="0"/>
        </w:rPr>
        <w:t xml:space="preserve">Overview</w:t>
      </w:r>
    </w:p>
    <w:p w:rsidR="00000000" w:rsidDel="00000000" w:rsidP="00000000" w:rsidRDefault="00000000" w:rsidRPr="00000000" w14:paraId="00000004">
      <w:pPr>
        <w:spacing w:after="120" w:before="0" w:line="278.4" w:lineRule="auto"/>
        <w:jc w:val="both"/>
        <w:rPr/>
      </w:pPr>
      <w:r w:rsidDel="00000000" w:rsidR="00000000" w:rsidRPr="00000000">
        <w:rPr>
          <w:rtl w:val="0"/>
        </w:rPr>
        <w:t xml:space="preserve">The Blue Bond Accelerator (BBA), incubated by the Ocean Risk and Resilience Action Alliance (ORRAA), is seeking a qualified and experienced independent contractor to develop a Fixed Income Market Engagement Strategy that identifies and prioritises the most effective interventions BBA can make to accelerate investment in blue bonds and catalyse the growth of the sustainable blue finance market.</w:t>
      </w:r>
    </w:p>
    <w:p w:rsidR="00000000" w:rsidDel="00000000" w:rsidP="00000000" w:rsidRDefault="00000000" w:rsidRPr="00000000" w14:paraId="00000005">
      <w:pPr>
        <w:spacing w:after="240" w:before="0" w:line="278.4" w:lineRule="auto"/>
        <w:jc w:val="both"/>
        <w:rPr/>
      </w:pPr>
      <w:r w:rsidDel="00000000" w:rsidR="00000000" w:rsidRPr="00000000">
        <w:rPr>
          <w:rtl w:val="0"/>
        </w:rPr>
        <w:t xml:space="preserve">The strategy will directly inform our next phase of engagement with institutional investors,  banks, and financial intermediaries — and will precede the recruitment of a dedicated </w:t>
      </w:r>
      <w:r w:rsidDel="00000000" w:rsidR="00000000" w:rsidRPr="00000000">
        <w:rPr>
          <w:rtl w:val="0"/>
        </w:rPr>
        <w:t xml:space="preserve">Fixed Income</w:t>
      </w:r>
      <w:r w:rsidDel="00000000" w:rsidR="00000000" w:rsidRPr="00000000">
        <w:rPr>
          <w:rtl w:val="0"/>
        </w:rPr>
        <w:t xml:space="preserve"> Market (FIM) Engagement Manager.</w:t>
      </w:r>
      <w:r w:rsidDel="00000000" w:rsidR="00000000" w:rsidRPr="00000000">
        <w:rPr>
          <w:rtl w:val="0"/>
        </w:rPr>
      </w:r>
    </w:p>
    <w:p w:rsidR="00000000" w:rsidDel="00000000" w:rsidP="00000000" w:rsidRDefault="00000000" w:rsidRPr="00000000" w14:paraId="00000006">
      <w:pPr>
        <w:pStyle w:val="Heading2"/>
        <w:keepNext w:val="0"/>
        <w:keepLines w:val="0"/>
        <w:numPr>
          <w:ilvl w:val="0"/>
          <w:numId w:val="8"/>
        </w:numPr>
        <w:spacing w:after="120" w:before="0" w:line="278.4" w:lineRule="auto"/>
        <w:ind w:left="425.19685039370086" w:hanging="360"/>
        <w:jc w:val="both"/>
        <w:rPr>
          <w:b w:val="1"/>
          <w:bCs w:val="1"/>
          <w:color w:val="4c94d8"/>
          <w:sz w:val="28"/>
          <w:szCs w:val="28"/>
          <w:u w:val="none"/>
        </w:rPr>
      </w:pPr>
      <w:bookmarkStart w:colFirst="0" w:colLast="0" w:name="_jwiq4hmrawap" w:id="3"/>
      <w:bookmarkEnd w:id="3"/>
      <w:r w:rsidDel="00000000" w:rsidR="00000000" w:rsidRPr="00000000">
        <w:rPr>
          <w:rtl w:val="0"/>
        </w:rPr>
        <w:t xml:space="preserve">Objective of the Assignment</w:t>
      </w:r>
      <w:r w:rsidDel="00000000" w:rsidR="00000000" w:rsidRPr="00000000">
        <w:rPr>
          <w:rtl w:val="0"/>
        </w:rPr>
      </w:r>
    </w:p>
    <w:p w:rsidR="00000000" w:rsidDel="00000000" w:rsidP="00000000" w:rsidRDefault="00000000" w:rsidRPr="00000000" w14:paraId="00000007">
      <w:pPr>
        <w:spacing w:after="120" w:before="0" w:line="278.4" w:lineRule="auto"/>
        <w:jc w:val="both"/>
        <w:rPr/>
      </w:pPr>
      <w:r w:rsidDel="00000000" w:rsidR="00000000" w:rsidRPr="00000000">
        <w:rPr>
          <w:rtl w:val="0"/>
        </w:rPr>
        <w:t xml:space="preserve">To</w:t>
      </w:r>
      <w:r w:rsidDel="00000000" w:rsidR="00000000" w:rsidRPr="00000000">
        <w:rPr>
          <w:rtl w:val="0"/>
        </w:rPr>
        <w:t xml:space="preserve"> design a practical, evidence-informed FIM Engagement Strategy for the BBA that:</w:t>
      </w:r>
    </w:p>
    <w:p w:rsidR="00000000" w:rsidDel="00000000" w:rsidP="00000000" w:rsidRDefault="00000000" w:rsidRPr="00000000" w14:paraId="00000008">
      <w:pPr>
        <w:numPr>
          <w:ilvl w:val="0"/>
          <w:numId w:val="5"/>
        </w:numPr>
        <w:spacing w:after="120" w:before="0" w:line="278.4" w:lineRule="auto"/>
        <w:ind w:left="720" w:hanging="360"/>
        <w:jc w:val="both"/>
        <w:rPr/>
      </w:pPr>
      <w:r w:rsidDel="00000000" w:rsidR="00000000" w:rsidRPr="00000000">
        <w:rPr>
          <w:rtl w:val="0"/>
        </w:rPr>
        <w:t xml:space="preserve">Defines how BBA can best engage FIM actors to mobilise investment in credible blue bonds.</w:t>
      </w:r>
    </w:p>
    <w:p w:rsidR="00000000" w:rsidDel="00000000" w:rsidP="00000000" w:rsidRDefault="00000000" w:rsidRPr="00000000" w14:paraId="00000009">
      <w:pPr>
        <w:numPr>
          <w:ilvl w:val="0"/>
          <w:numId w:val="5"/>
        </w:numPr>
        <w:spacing w:after="120" w:before="0" w:line="278.4" w:lineRule="auto"/>
        <w:ind w:left="720" w:hanging="360"/>
        <w:jc w:val="both"/>
        <w:rPr/>
      </w:pPr>
      <w:r w:rsidDel="00000000" w:rsidR="00000000" w:rsidRPr="00000000">
        <w:rPr>
          <w:rtl w:val="0"/>
        </w:rPr>
        <w:t xml:space="preserve">Surfaces priority interventions BBA should lead or support to shift capital into the blue bond market.</w:t>
      </w:r>
    </w:p>
    <w:p w:rsidR="00000000" w:rsidDel="00000000" w:rsidP="00000000" w:rsidRDefault="00000000" w:rsidRPr="00000000" w14:paraId="0000000A">
      <w:pPr>
        <w:numPr>
          <w:ilvl w:val="0"/>
          <w:numId w:val="5"/>
        </w:numPr>
        <w:spacing w:after="120" w:before="0" w:line="278.4" w:lineRule="auto"/>
        <w:ind w:left="720" w:hanging="360"/>
        <w:jc w:val="both"/>
        <w:rPr/>
      </w:pPr>
      <w:r w:rsidDel="00000000" w:rsidR="00000000" w:rsidRPr="00000000">
        <w:rPr>
          <w:rtl w:val="0"/>
        </w:rPr>
        <w:t xml:space="preserve">Identifies and prioritises key stakeholders (who, where, and why) for targeted engagement.</w:t>
      </w:r>
    </w:p>
    <w:p w:rsidR="00000000" w:rsidDel="00000000" w:rsidP="00000000" w:rsidRDefault="00000000" w:rsidRPr="00000000" w14:paraId="0000000B">
      <w:pPr>
        <w:numPr>
          <w:ilvl w:val="0"/>
          <w:numId w:val="5"/>
        </w:numPr>
        <w:spacing w:after="240" w:before="0" w:line="278.4" w:lineRule="auto"/>
        <w:ind w:left="720" w:hanging="360"/>
        <w:jc w:val="both"/>
      </w:pPr>
      <w:r w:rsidDel="00000000" w:rsidR="00000000" w:rsidRPr="00000000">
        <w:rPr>
          <w:rtl w:val="0"/>
        </w:rPr>
        <w:t xml:space="preserve">Proposes a set of KPIs that can be used for internal performance monitoring and external </w:t>
      </w:r>
      <w:r w:rsidDel="00000000" w:rsidR="00000000" w:rsidRPr="00000000">
        <w:rPr>
          <w:rtl w:val="0"/>
        </w:rPr>
        <w:t xml:space="preserve">fundraising</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pStyle w:val="Heading2"/>
        <w:numPr>
          <w:ilvl w:val="0"/>
          <w:numId w:val="8"/>
        </w:numPr>
        <w:spacing w:after="120" w:before="0" w:line="278.4" w:lineRule="auto"/>
        <w:ind w:left="420" w:hanging="360"/>
        <w:jc w:val="both"/>
        <w:rPr>
          <w:u w:val="none"/>
        </w:rPr>
      </w:pPr>
      <w:bookmarkStart w:colFirst="0" w:colLast="0" w:name="_d3o9922nt5ml" w:id="4"/>
      <w:bookmarkEnd w:id="4"/>
      <w:r w:rsidDel="00000000" w:rsidR="00000000" w:rsidRPr="00000000">
        <w:rPr>
          <w:rtl w:val="0"/>
        </w:rPr>
        <w:t xml:space="preserve">Scope of Work</w:t>
      </w:r>
    </w:p>
    <w:p w:rsidR="00000000" w:rsidDel="00000000" w:rsidP="00000000" w:rsidRDefault="00000000" w:rsidRPr="00000000" w14:paraId="0000000D">
      <w:pPr>
        <w:spacing w:after="120" w:before="0" w:line="278.4" w:lineRule="auto"/>
        <w:jc w:val="both"/>
        <w:rPr/>
      </w:pPr>
      <w:r w:rsidDel="00000000" w:rsidR="00000000" w:rsidRPr="00000000">
        <w:rPr>
          <w:rtl w:val="0"/>
        </w:rPr>
        <w:t xml:space="preserve">The selected contractor will be responsible for delivering a concise and actionable strategy document that includes:</w:t>
      </w:r>
    </w:p>
    <w:p w:rsidR="00000000" w:rsidDel="00000000" w:rsidP="00000000" w:rsidRDefault="00000000" w:rsidRPr="00000000" w14:paraId="0000000E">
      <w:pPr>
        <w:pStyle w:val="Heading3"/>
        <w:keepNext w:val="0"/>
        <w:keepLines w:val="0"/>
        <w:numPr>
          <w:ilvl w:val="0"/>
          <w:numId w:val="2"/>
        </w:numPr>
        <w:spacing w:after="120" w:before="0" w:line="278.4" w:lineRule="auto"/>
        <w:ind w:left="566.9291338582675" w:hanging="360"/>
        <w:jc w:val="both"/>
        <w:rPr>
          <w:b w:val="1"/>
          <w:bCs w:val="1"/>
          <w:color w:val="000000"/>
          <w:sz w:val="22"/>
          <w:szCs w:val="22"/>
          <w:u w:val="none"/>
        </w:rPr>
      </w:pPr>
      <w:bookmarkStart w:colFirst="0" w:colLast="0" w:name="_2w5mq1trk4mj" w:id="5"/>
      <w:bookmarkEnd w:id="5"/>
      <w:r w:rsidDel="00000000" w:rsidR="00000000" w:rsidRPr="00000000">
        <w:rPr>
          <w:b w:val="1"/>
          <w:bCs w:val="1"/>
          <w:color w:val="000000"/>
          <w:sz w:val="22"/>
          <w:szCs w:val="22"/>
          <w:rtl w:val="0"/>
        </w:rPr>
        <w:t xml:space="preserve">FIM Landscape Analysis</w:t>
      </w:r>
    </w:p>
    <w:p w:rsidR="00000000" w:rsidDel="00000000" w:rsidP="00000000" w:rsidRDefault="00000000" w:rsidRPr="00000000" w14:paraId="0000000F">
      <w:pPr>
        <w:numPr>
          <w:ilvl w:val="0"/>
          <w:numId w:val="9"/>
        </w:numPr>
        <w:spacing w:after="120" w:before="0" w:line="278.4" w:lineRule="auto"/>
        <w:ind w:left="720" w:hanging="360"/>
        <w:jc w:val="both"/>
      </w:pPr>
      <w:r w:rsidDel="00000000" w:rsidR="00000000" w:rsidRPr="00000000">
        <w:rPr>
          <w:rtl w:val="0"/>
        </w:rPr>
        <w:t xml:space="preserve">High-level review of investor sentiment and engagement to date on blue bonds as well as key ecosystem players such as investment banks, stock exchanges, etc</w:t>
      </w:r>
    </w:p>
    <w:p w:rsidR="00000000" w:rsidDel="00000000" w:rsidP="00000000" w:rsidRDefault="00000000" w:rsidRPr="00000000" w14:paraId="00000010">
      <w:pPr>
        <w:numPr>
          <w:ilvl w:val="0"/>
          <w:numId w:val="9"/>
        </w:numPr>
        <w:spacing w:after="120" w:before="0" w:line="278.4" w:lineRule="auto"/>
        <w:ind w:left="720" w:hanging="360"/>
        <w:jc w:val="both"/>
      </w:pPr>
      <w:r w:rsidDel="00000000" w:rsidR="00000000" w:rsidRPr="00000000">
        <w:rPr>
          <w:rtl w:val="0"/>
        </w:rPr>
        <w:t xml:space="preserve">Mapping of key financial actors and their readiness to support blue bonds (</w:t>
      </w:r>
      <w:r w:rsidDel="00000000" w:rsidR="00000000" w:rsidRPr="00000000">
        <w:rPr>
          <w:rtl w:val="0"/>
        </w:rPr>
        <w:t xml:space="preserve">e.g. asset owners, asset managers, institutional and impact investors, bond underwriters, stock exchanges and related ecosystem enablers,</w:t>
      </w:r>
      <w:r w:rsidDel="00000000" w:rsidR="00000000" w:rsidRPr="00000000">
        <w:rPr>
          <w:rtl w:val="0"/>
        </w:rPr>
        <w:t xml:space="preserve">)</w:t>
      </w:r>
    </w:p>
    <w:p w:rsidR="00000000" w:rsidDel="00000000" w:rsidP="00000000" w:rsidRDefault="00000000" w:rsidRPr="00000000" w14:paraId="00000011">
      <w:pPr>
        <w:numPr>
          <w:ilvl w:val="0"/>
          <w:numId w:val="9"/>
        </w:numPr>
        <w:spacing w:after="120" w:before="0" w:line="278.4" w:lineRule="auto"/>
        <w:ind w:left="720" w:hanging="360"/>
        <w:jc w:val="both"/>
      </w:pPr>
      <w:r w:rsidDel="00000000" w:rsidR="00000000" w:rsidRPr="00000000">
        <w:rPr>
          <w:rtl w:val="0"/>
        </w:rPr>
        <w:t xml:space="preserve">Insights from adjacent markets (green, social, sustainability, nature-based finance) relevant to blue bonds</w:t>
      </w:r>
    </w:p>
    <w:p w:rsidR="00000000" w:rsidDel="00000000" w:rsidP="00000000" w:rsidRDefault="00000000" w:rsidRPr="00000000" w14:paraId="00000012">
      <w:pPr>
        <w:pStyle w:val="Heading3"/>
        <w:keepNext w:val="0"/>
        <w:keepLines w:val="0"/>
        <w:numPr>
          <w:ilvl w:val="0"/>
          <w:numId w:val="2"/>
        </w:numPr>
        <w:spacing w:after="120" w:before="0" w:line="278.4" w:lineRule="auto"/>
        <w:ind w:left="566.9291338582675" w:hanging="360"/>
        <w:jc w:val="both"/>
        <w:rPr>
          <w:b w:val="1"/>
          <w:bCs w:val="1"/>
          <w:color w:val="000000"/>
          <w:sz w:val="22"/>
          <w:szCs w:val="22"/>
          <w:u w:val="none"/>
        </w:rPr>
      </w:pPr>
      <w:bookmarkStart w:colFirst="0" w:colLast="0" w:name="_nhqe2o71h1y" w:id="6"/>
      <w:bookmarkEnd w:id="6"/>
      <w:r w:rsidDel="00000000" w:rsidR="00000000" w:rsidRPr="00000000">
        <w:rPr>
          <w:b w:val="1"/>
          <w:bCs w:val="1"/>
          <w:color w:val="000000"/>
          <w:sz w:val="22"/>
          <w:szCs w:val="22"/>
          <w:rtl w:val="0"/>
        </w:rPr>
        <w:t xml:space="preserve">Strategic Intervention Design</w:t>
      </w:r>
    </w:p>
    <w:p w:rsidR="00000000" w:rsidDel="00000000" w:rsidP="00000000" w:rsidRDefault="00000000" w:rsidRPr="00000000" w14:paraId="00000013">
      <w:pPr>
        <w:numPr>
          <w:ilvl w:val="0"/>
          <w:numId w:val="1"/>
        </w:numPr>
        <w:spacing w:after="120" w:before="0" w:line="278.4" w:lineRule="auto"/>
        <w:ind w:left="720" w:hanging="360"/>
        <w:jc w:val="both"/>
      </w:pPr>
      <w:r w:rsidDel="00000000" w:rsidR="00000000" w:rsidRPr="00000000">
        <w:rPr>
          <w:rtl w:val="0"/>
        </w:rPr>
        <w:t xml:space="preserve">Identification of 4 - 6 priority interventions BBA could take to catalyse blue bond investment (e.g. investor convenings, verification frameworks, data platforms, or index providers)</w:t>
      </w:r>
    </w:p>
    <w:p w:rsidR="00000000" w:rsidDel="00000000" w:rsidP="00000000" w:rsidRDefault="00000000" w:rsidRPr="00000000" w14:paraId="00000014">
      <w:pPr>
        <w:numPr>
          <w:ilvl w:val="0"/>
          <w:numId w:val="1"/>
        </w:numPr>
        <w:spacing w:after="120" w:before="0" w:line="278.4" w:lineRule="auto"/>
        <w:ind w:left="720" w:hanging="360"/>
        <w:jc w:val="both"/>
      </w:pPr>
      <w:r w:rsidDel="00000000" w:rsidR="00000000" w:rsidRPr="00000000">
        <w:rPr>
          <w:rtl w:val="0"/>
        </w:rPr>
        <w:t xml:space="preserve">Ranking by feasibility, expected impact, alignment with BBA capabilities, and urgency</w:t>
      </w:r>
    </w:p>
    <w:p w:rsidR="00000000" w:rsidDel="00000000" w:rsidP="00000000" w:rsidRDefault="00000000" w:rsidRPr="00000000" w14:paraId="00000015">
      <w:pPr>
        <w:pStyle w:val="Heading3"/>
        <w:keepNext w:val="0"/>
        <w:keepLines w:val="0"/>
        <w:numPr>
          <w:ilvl w:val="0"/>
          <w:numId w:val="2"/>
        </w:numPr>
        <w:spacing w:after="120" w:before="0" w:line="278.4" w:lineRule="auto"/>
        <w:ind w:left="566.9291338582675" w:hanging="360"/>
        <w:jc w:val="both"/>
        <w:rPr>
          <w:b w:val="1"/>
          <w:bCs w:val="1"/>
          <w:color w:val="000000"/>
          <w:sz w:val="22"/>
          <w:szCs w:val="22"/>
          <w:u w:val="none"/>
        </w:rPr>
      </w:pPr>
      <w:bookmarkStart w:colFirst="0" w:colLast="0" w:name="_k4b7qv2g67k" w:id="7"/>
      <w:bookmarkEnd w:id="7"/>
      <w:r w:rsidDel="00000000" w:rsidR="00000000" w:rsidRPr="00000000">
        <w:rPr>
          <w:b w:val="1"/>
          <w:bCs w:val="1"/>
          <w:color w:val="000000"/>
          <w:sz w:val="22"/>
          <w:szCs w:val="22"/>
          <w:rtl w:val="0"/>
        </w:rPr>
        <w:t xml:space="preserve">Stakeholder Prioritisation</w:t>
      </w:r>
    </w:p>
    <w:p w:rsidR="00000000" w:rsidDel="00000000" w:rsidP="00000000" w:rsidRDefault="00000000" w:rsidRPr="00000000" w14:paraId="00000016">
      <w:pPr>
        <w:numPr>
          <w:ilvl w:val="0"/>
          <w:numId w:val="7"/>
        </w:numPr>
        <w:spacing w:after="120" w:before="0" w:line="278.4" w:lineRule="auto"/>
        <w:ind w:left="720" w:hanging="360"/>
        <w:jc w:val="both"/>
      </w:pPr>
      <w:r w:rsidDel="00000000" w:rsidR="00000000" w:rsidRPr="00000000">
        <w:rPr>
          <w:rtl w:val="0"/>
        </w:rPr>
        <w:t xml:space="preserve">Recommend the first tier of stakeholders BBA should engage:</w:t>
      </w:r>
    </w:p>
    <w:p w:rsidR="00000000" w:rsidDel="00000000" w:rsidP="00000000" w:rsidRDefault="00000000" w:rsidRPr="00000000" w14:paraId="0000001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20" w:before="0" w:line="278.4" w:lineRule="auto"/>
        <w:ind w:left="1440" w:right="0" w:hanging="360"/>
        <w:jc w:val="both"/>
      </w:pPr>
      <w:r w:rsidDel="00000000" w:rsidR="00000000" w:rsidRPr="00000000">
        <w:rPr>
          <w:rtl w:val="0"/>
        </w:rPr>
        <w:t xml:space="preserve">Who: e.g. </w:t>
      </w:r>
      <w:r w:rsidDel="00000000" w:rsidR="00000000" w:rsidRPr="00000000">
        <w:rPr>
          <w:rtl w:val="0"/>
        </w:rPr>
        <w:t xml:space="preserve">asset owners, </w:t>
      </w:r>
      <w:r w:rsidDel="00000000" w:rsidR="00000000" w:rsidRPr="00000000">
        <w:rPr>
          <w:rtl w:val="0"/>
        </w:rPr>
        <w:t xml:space="preserve">institutional and impact investors</w:t>
      </w:r>
      <w:r w:rsidDel="00000000" w:rsidR="00000000" w:rsidRPr="00000000">
        <w:rPr>
          <w:rtl w:val="0"/>
        </w:rPr>
        <w:t xml:space="preserve">, etc.</w:t>
      </w:r>
    </w:p>
    <w:p w:rsidR="00000000" w:rsidDel="00000000" w:rsidP="00000000" w:rsidRDefault="00000000" w:rsidRPr="00000000" w14:paraId="0000001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20" w:before="0" w:line="278.4" w:lineRule="auto"/>
        <w:ind w:left="1440" w:right="0" w:hanging="360"/>
        <w:jc w:val="both"/>
      </w:pPr>
      <w:r w:rsidDel="00000000" w:rsidR="00000000" w:rsidRPr="00000000">
        <w:rPr>
          <w:rtl w:val="0"/>
        </w:rPr>
        <w:t xml:space="preserve">Where: geographic focus</w:t>
      </w:r>
    </w:p>
    <w:p w:rsidR="00000000" w:rsidDel="00000000" w:rsidP="00000000" w:rsidRDefault="00000000" w:rsidRPr="00000000" w14:paraId="0000001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20" w:before="0" w:line="278.4" w:lineRule="auto"/>
        <w:ind w:left="1440" w:right="0" w:hanging="360"/>
        <w:jc w:val="both"/>
      </w:pPr>
      <w:r w:rsidDel="00000000" w:rsidR="00000000" w:rsidRPr="00000000">
        <w:rPr>
          <w:rtl w:val="0"/>
        </w:rPr>
        <w:t xml:space="preserve">Why: strategic alignment, influence, momentum, or untapped potential</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20" w:before="0" w:line="278.4" w:lineRule="auto"/>
        <w:ind w:left="1440" w:right="0" w:hanging="360"/>
        <w:jc w:val="both"/>
      </w:pPr>
      <w:r w:rsidDel="00000000" w:rsidR="00000000" w:rsidRPr="00000000">
        <w:rPr>
          <w:rtl w:val="0"/>
        </w:rPr>
        <w:t xml:space="preserve">How: suggested networks and channels</w:t>
      </w:r>
    </w:p>
    <w:p w:rsidR="00000000" w:rsidDel="00000000" w:rsidP="00000000" w:rsidRDefault="00000000" w:rsidRPr="00000000" w14:paraId="0000001B">
      <w:pPr>
        <w:pStyle w:val="Heading3"/>
        <w:keepNext w:val="0"/>
        <w:keepLines w:val="0"/>
        <w:numPr>
          <w:ilvl w:val="0"/>
          <w:numId w:val="2"/>
        </w:numPr>
        <w:spacing w:after="120" w:before="0" w:line="278.4" w:lineRule="auto"/>
        <w:ind w:left="566.9291338582675" w:hanging="360"/>
        <w:jc w:val="both"/>
        <w:rPr>
          <w:b w:val="1"/>
          <w:bCs w:val="1"/>
          <w:color w:val="000000"/>
          <w:sz w:val="22"/>
          <w:szCs w:val="22"/>
          <w:u w:val="none"/>
        </w:rPr>
      </w:pPr>
      <w:bookmarkStart w:colFirst="0" w:colLast="0" w:name="_g9v9y8obvncv" w:id="8"/>
      <w:bookmarkEnd w:id="8"/>
      <w:r w:rsidDel="00000000" w:rsidR="00000000" w:rsidRPr="00000000">
        <w:rPr>
          <w:b w:val="1"/>
          <w:bCs w:val="1"/>
          <w:color w:val="000000"/>
          <w:sz w:val="22"/>
          <w:szCs w:val="22"/>
          <w:rtl w:val="0"/>
        </w:rPr>
        <w:t xml:space="preserve">FIM Engagement KPIs</w:t>
      </w:r>
    </w:p>
    <w:p w:rsidR="00000000" w:rsidDel="00000000" w:rsidP="00000000" w:rsidRDefault="00000000" w:rsidRPr="00000000" w14:paraId="0000001C">
      <w:pPr>
        <w:numPr>
          <w:ilvl w:val="0"/>
          <w:numId w:val="3"/>
        </w:numPr>
        <w:spacing w:after="120" w:before="0" w:line="278.4" w:lineRule="auto"/>
        <w:ind w:left="720" w:hanging="360"/>
        <w:jc w:val="both"/>
      </w:pPr>
      <w:r w:rsidDel="00000000" w:rsidR="00000000" w:rsidRPr="00000000">
        <w:rPr>
          <w:rtl w:val="0"/>
        </w:rPr>
        <w:t xml:space="preserve">Propose a set of measurable KPIs (e.g. # of investors engaged, deals influenced, investment volumes catalysed)</w:t>
      </w:r>
    </w:p>
    <w:p w:rsidR="00000000" w:rsidDel="00000000" w:rsidP="00000000" w:rsidRDefault="00000000" w:rsidRPr="00000000" w14:paraId="0000001D">
      <w:pPr>
        <w:numPr>
          <w:ilvl w:val="0"/>
          <w:numId w:val="3"/>
        </w:numPr>
        <w:spacing w:after="120" w:before="0" w:line="278.4" w:lineRule="auto"/>
        <w:ind w:left="720" w:hanging="360"/>
        <w:jc w:val="both"/>
      </w:pPr>
      <w:r w:rsidDel="00000000" w:rsidR="00000000" w:rsidRPr="00000000">
        <w:rPr>
          <w:rtl w:val="0"/>
        </w:rPr>
        <w:t xml:space="preserve">Recommend in</w:t>
      </w:r>
      <w:r w:rsidDel="00000000" w:rsidR="00000000" w:rsidRPr="00000000">
        <w:rPr>
          <w:rtl w:val="0"/>
        </w:rPr>
        <w:t xml:space="preserve">dicators to support both internal tracking and donor/funder reporting</w:t>
      </w:r>
      <w:r w:rsidDel="00000000" w:rsidR="00000000" w:rsidRPr="00000000">
        <w:rPr>
          <w:rtl w:val="0"/>
        </w:rPr>
      </w:r>
    </w:p>
    <w:p w:rsidR="00000000" w:rsidDel="00000000" w:rsidP="00000000" w:rsidRDefault="00000000" w:rsidRPr="00000000" w14:paraId="0000001E">
      <w:pPr>
        <w:pStyle w:val="Heading3"/>
        <w:keepNext w:val="0"/>
        <w:keepLines w:val="0"/>
        <w:numPr>
          <w:ilvl w:val="0"/>
          <w:numId w:val="2"/>
        </w:numPr>
        <w:spacing w:after="120" w:before="0" w:line="278.4" w:lineRule="auto"/>
        <w:ind w:left="566.9291338582675" w:hanging="360"/>
        <w:jc w:val="both"/>
        <w:rPr>
          <w:b w:val="1"/>
          <w:bCs w:val="1"/>
          <w:color w:val="000000"/>
          <w:sz w:val="22"/>
          <w:szCs w:val="22"/>
          <w:u w:val="none"/>
        </w:rPr>
      </w:pPr>
      <w:bookmarkStart w:colFirst="0" w:colLast="0" w:name="_623lmk3w0cao" w:id="9"/>
      <w:bookmarkEnd w:id="9"/>
      <w:r w:rsidDel="00000000" w:rsidR="00000000" w:rsidRPr="00000000">
        <w:rPr>
          <w:b w:val="1"/>
          <w:bCs w:val="1"/>
          <w:color w:val="000000"/>
          <w:sz w:val="22"/>
          <w:szCs w:val="22"/>
          <w:rtl w:val="0"/>
        </w:rPr>
        <w:t xml:space="preserve">Implementation Guidance</w:t>
      </w:r>
    </w:p>
    <w:p w:rsidR="00000000" w:rsidDel="00000000" w:rsidP="00000000" w:rsidRDefault="00000000" w:rsidRPr="00000000" w14:paraId="0000001F">
      <w:pPr>
        <w:numPr>
          <w:ilvl w:val="0"/>
          <w:numId w:val="10"/>
        </w:numPr>
        <w:spacing w:after="120" w:before="0" w:line="278.4" w:lineRule="auto"/>
        <w:ind w:left="720" w:hanging="360"/>
        <w:jc w:val="both"/>
      </w:pPr>
      <w:r w:rsidDel="00000000" w:rsidR="00000000" w:rsidRPr="00000000">
        <w:rPr>
          <w:rtl w:val="0"/>
        </w:rPr>
        <w:t xml:space="preserve">Suggested sequencing and timeline of interventions</w:t>
      </w:r>
    </w:p>
    <w:p w:rsidR="00000000" w:rsidDel="00000000" w:rsidP="00000000" w:rsidRDefault="00000000" w:rsidRPr="00000000" w14:paraId="00000020">
      <w:pPr>
        <w:numPr>
          <w:ilvl w:val="0"/>
          <w:numId w:val="10"/>
        </w:numPr>
        <w:spacing w:after="240" w:before="0" w:line="278.4" w:lineRule="auto"/>
        <w:ind w:left="720" w:hanging="360"/>
        <w:jc w:val="both"/>
      </w:pPr>
      <w:r w:rsidDel="00000000" w:rsidR="00000000" w:rsidRPr="00000000">
        <w:rPr>
          <w:rtl w:val="0"/>
        </w:rPr>
        <w:t xml:space="preserve">Considerations for resourcing, partnerships, and messaging</w:t>
      </w:r>
    </w:p>
    <w:p w:rsidR="00000000" w:rsidDel="00000000" w:rsidP="00000000" w:rsidRDefault="00000000" w:rsidRPr="00000000" w14:paraId="00000021">
      <w:pPr>
        <w:pStyle w:val="Heading2"/>
        <w:keepNext w:val="0"/>
        <w:keepLines w:val="0"/>
        <w:numPr>
          <w:ilvl w:val="0"/>
          <w:numId w:val="8"/>
        </w:numPr>
        <w:spacing w:after="240" w:before="0" w:line="278.4" w:lineRule="auto"/>
        <w:ind w:left="425.19685039370086" w:hanging="360"/>
        <w:jc w:val="both"/>
        <w:rPr>
          <w:u w:val="none"/>
        </w:rPr>
      </w:pPr>
      <w:bookmarkStart w:colFirst="0" w:colLast="0" w:name="_ttp69xe1wj8f" w:id="10"/>
      <w:bookmarkEnd w:id="10"/>
      <w:r w:rsidDel="00000000" w:rsidR="00000000" w:rsidRPr="00000000">
        <w:rPr>
          <w:rtl w:val="0"/>
        </w:rPr>
        <w:t xml:space="preserve">Deliverables &amp; Timeline</w:t>
      </w:r>
      <w:r w:rsidDel="00000000" w:rsidR="00000000" w:rsidRPr="00000000">
        <w:rPr>
          <w:rtl w:val="0"/>
        </w:rPr>
      </w:r>
    </w:p>
    <w:tbl>
      <w:tblPr>
        <w:tblStyle w:val="Table1"/>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5625"/>
        <w:gridCol w:w="1200"/>
        <w:tblGridChange w:id="0">
          <w:tblGrid>
            <w:gridCol w:w="2325"/>
            <w:gridCol w:w="5625"/>
            <w:gridCol w:w="1200"/>
          </w:tblGrid>
        </w:tblGridChange>
      </w:tblGrid>
      <w:tr>
        <w:trPr>
          <w:cantSplit w:val="0"/>
          <w:trHeight w:val="165" w:hRule="atLeast"/>
          <w:tblHeader w:val="0"/>
        </w:trPr>
        <w:tc>
          <w:tcPr>
            <w:tcBorders>
              <w:top w:color="000000" w:space="0" w:sz="8" w:val="single"/>
              <w:left w:color="000000" w:space="0" w:sz="8" w:val="single"/>
              <w:bottom w:color="000000" w:space="0" w:sz="8" w:val="single"/>
              <w:right w:color="000000" w:space="0" w:sz="8" w:val="single"/>
            </w:tcBorders>
            <w:shd w:fill="6d9eeb" w:val="clear"/>
            <w:tcMar>
              <w:top w:w="100.0" w:type="dxa"/>
              <w:left w:w="100.0" w:type="dxa"/>
              <w:bottom w:w="100.0" w:type="dxa"/>
              <w:right w:w="100.0" w:type="dxa"/>
            </w:tcMar>
            <w:vAlign w:val="top"/>
          </w:tcPr>
          <w:p w:rsidR="00000000" w:rsidDel="00000000" w:rsidP="00000000" w:rsidRDefault="00000000" w:rsidRPr="00000000" w14:paraId="00000022">
            <w:pPr>
              <w:spacing w:after="0" w:before="0" w:line="278.4" w:lineRule="auto"/>
              <w:jc w:val="both"/>
              <w:rPr>
                <w:color w:val="ffffff"/>
              </w:rPr>
            </w:pPr>
            <w:r w:rsidDel="00000000" w:rsidR="00000000" w:rsidRPr="00000000">
              <w:rPr>
                <w:b w:val="1"/>
                <w:bCs w:val="1"/>
                <w:color w:val="ffffff"/>
                <w:rtl w:val="0"/>
              </w:rPr>
              <w:t xml:space="preserve">Deliverable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6d9eeb" w:val="clear"/>
            <w:tcMar>
              <w:top w:w="100.0" w:type="dxa"/>
              <w:left w:w="100.0" w:type="dxa"/>
              <w:bottom w:w="100.0" w:type="dxa"/>
              <w:right w:w="100.0" w:type="dxa"/>
            </w:tcMar>
            <w:vAlign w:val="top"/>
          </w:tcPr>
          <w:p w:rsidR="00000000" w:rsidDel="00000000" w:rsidP="00000000" w:rsidRDefault="00000000" w:rsidRPr="00000000" w14:paraId="00000023">
            <w:pPr>
              <w:spacing w:after="0" w:before="0" w:line="278.4" w:lineRule="auto"/>
              <w:jc w:val="both"/>
              <w:rPr>
                <w:color w:val="ffffff"/>
              </w:rPr>
            </w:pPr>
            <w:r w:rsidDel="00000000" w:rsidR="00000000" w:rsidRPr="00000000">
              <w:rPr>
                <w:b w:val="1"/>
                <w:bCs w:val="1"/>
                <w:color w:val="ffffff"/>
                <w:rtl w:val="0"/>
              </w:rPr>
              <w:t xml:space="preserve">Description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6d9eeb" w:val="clear"/>
            <w:tcMar>
              <w:top w:w="100.0" w:type="dxa"/>
              <w:left w:w="100.0" w:type="dxa"/>
              <w:bottom w:w="100.0" w:type="dxa"/>
              <w:right w:w="100.0" w:type="dxa"/>
            </w:tcMar>
            <w:vAlign w:val="top"/>
          </w:tcPr>
          <w:p w:rsidR="00000000" w:rsidDel="00000000" w:rsidP="00000000" w:rsidRDefault="00000000" w:rsidRPr="00000000" w14:paraId="00000024">
            <w:pPr>
              <w:spacing w:after="0" w:before="0" w:line="278.4" w:lineRule="auto"/>
              <w:jc w:val="both"/>
              <w:rPr>
                <w:color w:val="ffffff"/>
              </w:rPr>
            </w:pPr>
            <w:r w:rsidDel="00000000" w:rsidR="00000000" w:rsidRPr="00000000">
              <w:rPr>
                <w:b w:val="1"/>
                <w:bCs w:val="1"/>
                <w:color w:val="ffffff"/>
                <w:rtl w:val="0"/>
              </w:rPr>
              <w:t xml:space="preserve">Due Date</w:t>
            </w: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spacing w:after="120" w:before="0" w:line="278.4" w:lineRule="auto"/>
              <w:jc w:val="both"/>
              <w:rPr/>
            </w:pPr>
            <w:r w:rsidDel="00000000" w:rsidR="00000000" w:rsidRPr="00000000">
              <w:rPr>
                <w:rtl w:val="0"/>
              </w:rPr>
              <w:t xml:space="preserve">Inception Note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spacing w:after="120" w:before="0" w:line="278.4" w:lineRule="auto"/>
              <w:jc w:val="both"/>
              <w:rPr/>
            </w:pPr>
            <w:r w:rsidDel="00000000" w:rsidR="00000000" w:rsidRPr="00000000">
              <w:rPr>
                <w:rtl w:val="0"/>
              </w:rPr>
              <w:t xml:space="preserve">Short summary of approach, focus areas, and stakeholder list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spacing w:after="120" w:before="0" w:line="278.4" w:lineRule="auto"/>
              <w:jc w:val="both"/>
              <w:rPr/>
            </w:pPr>
            <w:r w:rsidDel="00000000" w:rsidR="00000000" w:rsidRPr="00000000">
              <w:rPr>
                <w:rtl w:val="0"/>
              </w:rPr>
              <w:t xml:space="preserve">Week 2</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spacing w:after="120" w:before="0" w:line="278.4" w:lineRule="auto"/>
              <w:jc w:val="both"/>
              <w:rPr/>
            </w:pPr>
            <w:r w:rsidDel="00000000" w:rsidR="00000000" w:rsidRPr="00000000">
              <w:rPr>
                <w:rtl w:val="0"/>
              </w:rPr>
              <w:t xml:space="preserve">Draft Strategy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spacing w:after="120" w:before="0" w:line="278.4" w:lineRule="auto"/>
              <w:jc w:val="both"/>
              <w:rPr/>
            </w:pPr>
            <w:r w:rsidDel="00000000" w:rsidR="00000000" w:rsidRPr="00000000">
              <w:rPr>
                <w:rtl w:val="0"/>
              </w:rPr>
              <w:t xml:space="preserve">Full draft of strategy document (max 20 pages) + KPI set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spacing w:after="120" w:before="0" w:line="278.4" w:lineRule="auto"/>
              <w:jc w:val="both"/>
              <w:rPr/>
            </w:pPr>
            <w:r w:rsidDel="00000000" w:rsidR="00000000" w:rsidRPr="00000000">
              <w:rPr>
                <w:rtl w:val="0"/>
              </w:rPr>
              <w:t xml:space="preserve">Week 6</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spacing w:after="120" w:before="0" w:line="278.4" w:lineRule="auto"/>
              <w:jc w:val="both"/>
              <w:rPr/>
            </w:pPr>
            <w:r w:rsidDel="00000000" w:rsidR="00000000" w:rsidRPr="00000000">
              <w:rPr>
                <w:rtl w:val="0"/>
              </w:rPr>
              <w:t xml:space="preserve">Stakeholder Presentation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spacing w:after="120" w:before="0" w:line="278.4" w:lineRule="auto"/>
              <w:jc w:val="both"/>
              <w:rPr/>
            </w:pPr>
            <w:r w:rsidDel="00000000" w:rsidR="00000000" w:rsidRPr="00000000">
              <w:rPr>
                <w:rtl w:val="0"/>
              </w:rPr>
              <w:t xml:space="preserve">Slide deck for internal use or board sharing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spacing w:after="120" w:before="0" w:line="278.4" w:lineRule="auto"/>
              <w:jc w:val="both"/>
              <w:rPr/>
            </w:pPr>
            <w:r w:rsidDel="00000000" w:rsidR="00000000" w:rsidRPr="00000000">
              <w:rPr>
                <w:rtl w:val="0"/>
              </w:rPr>
              <w:t xml:space="preserve">Week 9</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spacing w:after="120" w:before="0" w:line="278.4" w:lineRule="auto"/>
              <w:jc w:val="both"/>
              <w:rPr/>
            </w:pPr>
            <w:r w:rsidDel="00000000" w:rsidR="00000000" w:rsidRPr="00000000">
              <w:rPr>
                <w:rtl w:val="0"/>
              </w:rPr>
              <w:t xml:space="preserve">Final Strategy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spacing w:after="0" w:before="0" w:line="278.4" w:lineRule="auto"/>
              <w:jc w:val="both"/>
              <w:rPr/>
            </w:pPr>
            <w:r w:rsidDel="00000000" w:rsidR="00000000" w:rsidRPr="00000000">
              <w:rPr>
                <w:rtl w:val="0"/>
              </w:rPr>
              <w:t xml:space="preserve">Revised strategy with BBA feedback incorporated</w:t>
            </w:r>
          </w:p>
          <w:p w:rsidR="00000000" w:rsidDel="00000000" w:rsidP="00000000" w:rsidRDefault="00000000" w:rsidRPr="00000000" w14:paraId="00000030">
            <w:pPr>
              <w:spacing w:after="120" w:before="0" w:line="278.4"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spacing w:after="120" w:before="0" w:line="278.4" w:lineRule="auto"/>
              <w:jc w:val="both"/>
              <w:rPr/>
            </w:pPr>
            <w:r w:rsidDel="00000000" w:rsidR="00000000" w:rsidRPr="00000000">
              <w:rPr>
                <w:rtl w:val="0"/>
              </w:rPr>
              <w:t xml:space="preserve">Week 12</w:t>
            </w:r>
          </w:p>
        </w:tc>
      </w:tr>
    </w:tbl>
    <w:p w:rsidR="00000000" w:rsidDel="00000000" w:rsidP="00000000" w:rsidRDefault="00000000" w:rsidRPr="00000000" w14:paraId="00000032">
      <w:pPr>
        <w:keepNext w:val="0"/>
        <w:keepLines w:val="0"/>
        <w:spacing w:after="120" w:before="200" w:line="278.4" w:lineRule="auto"/>
        <w:ind w:left="0"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2"/>
        <w:keepNext w:val="0"/>
        <w:keepLines w:val="0"/>
        <w:numPr>
          <w:ilvl w:val="0"/>
          <w:numId w:val="8"/>
        </w:numPr>
        <w:spacing w:after="120" w:before="200" w:line="278.4" w:lineRule="auto"/>
        <w:ind w:left="425.19685039370086" w:hanging="360"/>
        <w:jc w:val="both"/>
        <w:rPr>
          <w:u w:val="none"/>
        </w:rPr>
      </w:pPr>
      <w:bookmarkStart w:colFirst="0" w:colLast="0" w:name="_di9oleaixdvz" w:id="11"/>
      <w:bookmarkEnd w:id="11"/>
      <w:r w:rsidDel="00000000" w:rsidR="00000000" w:rsidRPr="00000000">
        <w:rPr>
          <w:rtl w:val="0"/>
        </w:rPr>
        <w:t xml:space="preserve">Qualifications</w:t>
      </w:r>
      <w:r w:rsidDel="00000000" w:rsidR="00000000" w:rsidRPr="00000000">
        <w:rPr>
          <w:rtl w:val="0"/>
        </w:rPr>
      </w:r>
    </w:p>
    <w:p w:rsidR="00000000" w:rsidDel="00000000" w:rsidP="00000000" w:rsidRDefault="00000000" w:rsidRPr="00000000" w14:paraId="00000034">
      <w:pPr>
        <w:spacing w:after="120" w:before="0" w:line="278.4" w:lineRule="auto"/>
        <w:jc w:val="both"/>
        <w:rPr/>
      </w:pPr>
      <w:r w:rsidDel="00000000" w:rsidR="00000000" w:rsidRPr="00000000">
        <w:rPr>
          <w:rtl w:val="0"/>
        </w:rPr>
        <w:t xml:space="preserve">We welcome proposals from individual consultants or small firms with:</w:t>
      </w:r>
    </w:p>
    <w:p w:rsidR="00000000" w:rsidDel="00000000" w:rsidP="00000000" w:rsidRDefault="00000000" w:rsidRPr="00000000" w14:paraId="00000035">
      <w:pPr>
        <w:numPr>
          <w:ilvl w:val="0"/>
          <w:numId w:val="11"/>
        </w:numPr>
        <w:spacing w:after="120" w:before="0" w:line="278.4" w:lineRule="auto"/>
        <w:ind w:left="720" w:hanging="360"/>
        <w:jc w:val="both"/>
      </w:pPr>
      <w:r w:rsidDel="00000000" w:rsidR="00000000" w:rsidRPr="00000000">
        <w:rPr>
          <w:rtl w:val="0"/>
        </w:rPr>
        <w:t xml:space="preserve">Demonstrated expertise and track record in fixed-income markets, bonds, sustainable finance, or impact investment</w:t>
      </w:r>
    </w:p>
    <w:p w:rsidR="00000000" w:rsidDel="00000000" w:rsidP="00000000" w:rsidRDefault="00000000" w:rsidRPr="00000000" w14:paraId="000000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78.4" w:lineRule="auto"/>
        <w:ind w:left="720" w:right="0" w:hanging="360"/>
        <w:jc w:val="both"/>
      </w:pPr>
      <w:r w:rsidDel="00000000" w:rsidR="00000000" w:rsidRPr="00000000">
        <w:rPr>
          <w:rtl w:val="0"/>
        </w:rPr>
        <w:t xml:space="preserve">Strong knowledge of nature-based finance, blue/green bonds, or blended finance structures</w:t>
      </w:r>
    </w:p>
    <w:p w:rsidR="00000000" w:rsidDel="00000000" w:rsidP="00000000" w:rsidRDefault="00000000" w:rsidRPr="00000000" w14:paraId="000000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78.4" w:lineRule="auto"/>
        <w:ind w:left="720" w:right="0" w:hanging="360"/>
        <w:jc w:val="both"/>
      </w:pPr>
      <w:r w:rsidDel="00000000" w:rsidR="00000000" w:rsidRPr="00000000">
        <w:rPr>
          <w:rtl w:val="0"/>
        </w:rPr>
        <w:t xml:space="preserve">A broad and active network of relevant FIM actors</w:t>
      </w:r>
    </w:p>
    <w:p w:rsidR="00000000" w:rsidDel="00000000" w:rsidP="00000000" w:rsidRDefault="00000000" w:rsidRPr="00000000" w14:paraId="000000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78.4" w:lineRule="auto"/>
        <w:ind w:left="720" w:right="0" w:hanging="360"/>
        <w:jc w:val="both"/>
      </w:pPr>
      <w:r w:rsidDel="00000000" w:rsidR="00000000" w:rsidRPr="00000000">
        <w:rPr>
          <w:rtl w:val="0"/>
        </w:rPr>
        <w:t xml:space="preserve">Experience producing strategic documents for use by executives, boards, or funders</w:t>
      </w:r>
    </w:p>
    <w:p w:rsidR="00000000" w:rsidDel="00000000" w:rsidP="00000000" w:rsidRDefault="00000000" w:rsidRPr="00000000" w14:paraId="00000039">
      <w:pPr>
        <w:numPr>
          <w:ilvl w:val="0"/>
          <w:numId w:val="11"/>
        </w:numPr>
        <w:spacing w:after="240" w:before="0" w:line="278.4" w:lineRule="auto"/>
        <w:ind w:left="720" w:hanging="360"/>
        <w:jc w:val="both"/>
      </w:pPr>
      <w:r w:rsidDel="00000000" w:rsidR="00000000" w:rsidRPr="00000000">
        <w:rPr>
          <w:rtl w:val="0"/>
        </w:rPr>
        <w:t xml:space="preserve">Familiarity with LMIC or SIDS contexts is an asset</w:t>
      </w:r>
    </w:p>
    <w:p w:rsidR="00000000" w:rsidDel="00000000" w:rsidP="00000000" w:rsidRDefault="00000000" w:rsidRPr="00000000" w14:paraId="0000003A">
      <w:pPr>
        <w:pStyle w:val="Heading2"/>
        <w:keepNext w:val="0"/>
        <w:keepLines w:val="0"/>
        <w:numPr>
          <w:ilvl w:val="0"/>
          <w:numId w:val="8"/>
        </w:numPr>
        <w:spacing w:after="120" w:before="0" w:line="278.4" w:lineRule="auto"/>
        <w:ind w:left="425.19685039370086" w:hanging="360"/>
        <w:jc w:val="both"/>
        <w:rPr>
          <w:u w:val="none"/>
        </w:rPr>
      </w:pPr>
      <w:bookmarkStart w:colFirst="0" w:colLast="0" w:name="_fjy9racgky74" w:id="12"/>
      <w:bookmarkEnd w:id="12"/>
      <w:r w:rsidDel="00000000" w:rsidR="00000000" w:rsidRPr="00000000">
        <w:rPr>
          <w:rtl w:val="0"/>
        </w:rPr>
        <w:t xml:space="preserve">Proposal Submission Requirements</w:t>
      </w:r>
      <w:r w:rsidDel="00000000" w:rsidR="00000000" w:rsidRPr="00000000">
        <w:rPr>
          <w:rtl w:val="0"/>
        </w:rPr>
      </w:r>
    </w:p>
    <w:p w:rsidR="00000000" w:rsidDel="00000000" w:rsidP="00000000" w:rsidRDefault="00000000" w:rsidRPr="00000000" w14:paraId="0000003B">
      <w:pPr>
        <w:spacing w:after="120" w:before="0" w:line="278.4" w:lineRule="auto"/>
        <w:jc w:val="both"/>
        <w:rPr/>
      </w:pPr>
      <w:r w:rsidDel="00000000" w:rsidR="00000000" w:rsidRPr="00000000">
        <w:rPr>
          <w:rtl w:val="0"/>
        </w:rPr>
        <w:t xml:space="preserve">Please submit:</w:t>
      </w:r>
    </w:p>
    <w:p w:rsidR="00000000" w:rsidDel="00000000" w:rsidP="00000000" w:rsidRDefault="00000000" w:rsidRPr="00000000" w14:paraId="0000003C">
      <w:pPr>
        <w:numPr>
          <w:ilvl w:val="0"/>
          <w:numId w:val="6"/>
        </w:numPr>
        <w:spacing w:after="120" w:before="0" w:line="278.4" w:lineRule="auto"/>
        <w:ind w:left="720" w:hanging="360"/>
        <w:jc w:val="both"/>
      </w:pPr>
      <w:r w:rsidDel="00000000" w:rsidR="00000000" w:rsidRPr="00000000">
        <w:rPr>
          <w:rtl w:val="0"/>
        </w:rPr>
        <w:t xml:space="preserve">A brief technical proposal (max 4 pages) outlining your approach, work plan, and relevant experience</w:t>
      </w:r>
    </w:p>
    <w:p w:rsidR="00000000" w:rsidDel="00000000" w:rsidP="00000000" w:rsidRDefault="00000000" w:rsidRPr="00000000" w14:paraId="0000003D">
      <w:pPr>
        <w:numPr>
          <w:ilvl w:val="0"/>
          <w:numId w:val="6"/>
        </w:numPr>
        <w:spacing w:after="120" w:before="0" w:line="278.4" w:lineRule="auto"/>
        <w:ind w:left="720" w:hanging="360"/>
        <w:jc w:val="both"/>
      </w:pPr>
      <w:r w:rsidDel="00000000" w:rsidR="00000000" w:rsidRPr="00000000">
        <w:rPr>
          <w:rtl w:val="0"/>
        </w:rPr>
        <w:t xml:space="preserve">CV(s) of proposed consultant(s)</w:t>
      </w:r>
    </w:p>
    <w:p w:rsidR="00000000" w:rsidDel="00000000" w:rsidP="00000000" w:rsidRDefault="00000000" w:rsidRPr="00000000" w14:paraId="0000003E">
      <w:pPr>
        <w:numPr>
          <w:ilvl w:val="0"/>
          <w:numId w:val="6"/>
        </w:numPr>
        <w:spacing w:after="120" w:before="0" w:line="278.4" w:lineRule="auto"/>
        <w:ind w:left="720" w:hanging="360"/>
        <w:jc w:val="both"/>
      </w:pPr>
      <w:r w:rsidDel="00000000" w:rsidR="00000000" w:rsidRPr="00000000">
        <w:rPr>
          <w:rtl w:val="0"/>
        </w:rPr>
        <w:t xml:space="preserve">Two examples of similar previous work (confidentiality respected)</w:t>
      </w:r>
    </w:p>
    <w:p w:rsidR="00000000" w:rsidDel="00000000" w:rsidP="00000000" w:rsidRDefault="00000000" w:rsidRPr="00000000" w14:paraId="0000003F">
      <w:pPr>
        <w:numPr>
          <w:ilvl w:val="0"/>
          <w:numId w:val="6"/>
        </w:numPr>
        <w:spacing w:after="120" w:before="0" w:line="278.4" w:lineRule="auto"/>
        <w:ind w:left="720" w:hanging="360"/>
        <w:jc w:val="both"/>
      </w:pPr>
      <w:r w:rsidDel="00000000" w:rsidR="00000000" w:rsidRPr="00000000">
        <w:rPr>
          <w:rtl w:val="0"/>
        </w:rPr>
        <w:t xml:space="preserve">Proposed daily or fixed fee and estimated total cost</w:t>
      </w:r>
    </w:p>
    <w:p w:rsidR="00000000" w:rsidDel="00000000" w:rsidP="00000000" w:rsidRDefault="00000000" w:rsidRPr="00000000" w14:paraId="00000040">
      <w:pPr>
        <w:numPr>
          <w:ilvl w:val="0"/>
          <w:numId w:val="6"/>
        </w:numPr>
        <w:spacing w:after="240" w:before="0" w:line="278.4" w:lineRule="auto"/>
        <w:ind w:left="720" w:hanging="360"/>
        <w:jc w:val="both"/>
      </w:pPr>
      <w:r w:rsidDel="00000000" w:rsidR="00000000" w:rsidRPr="00000000">
        <w:rPr>
          <w:rtl w:val="0"/>
        </w:rPr>
        <w:t xml:space="preserve">Availability to deliver by end of </w:t>
      </w:r>
      <w:r w:rsidDel="00000000" w:rsidR="00000000" w:rsidRPr="00000000">
        <w:rPr>
          <w:rtl w:val="0"/>
        </w:rPr>
        <w:t xml:space="preserve">April 2026</w:t>
      </w:r>
    </w:p>
    <w:p w:rsidR="00000000" w:rsidDel="00000000" w:rsidP="00000000" w:rsidRDefault="00000000" w:rsidRPr="00000000" w14:paraId="00000041">
      <w:pPr>
        <w:pStyle w:val="Heading2"/>
        <w:keepNext w:val="0"/>
        <w:keepLines w:val="0"/>
        <w:numPr>
          <w:ilvl w:val="0"/>
          <w:numId w:val="8"/>
        </w:numPr>
        <w:spacing w:after="240" w:before="0" w:line="278.4" w:lineRule="auto"/>
        <w:ind w:left="425.19685039370086" w:hanging="360"/>
        <w:jc w:val="both"/>
        <w:rPr>
          <w:u w:val="none"/>
        </w:rPr>
      </w:pPr>
      <w:bookmarkStart w:colFirst="0" w:colLast="0" w:name="_uhwo8rd2ku6i" w:id="13"/>
      <w:bookmarkEnd w:id="13"/>
      <w:r w:rsidDel="00000000" w:rsidR="00000000" w:rsidRPr="00000000">
        <w:rPr>
          <w:rtl w:val="0"/>
        </w:rPr>
        <w:t xml:space="preserve">Evaluation Criteria</w:t>
      </w:r>
      <w:r w:rsidDel="00000000" w:rsidR="00000000" w:rsidRPr="00000000">
        <w:rPr>
          <w:rtl w:val="0"/>
        </w:rPr>
      </w:r>
    </w:p>
    <w:tbl>
      <w:tblPr>
        <w:tblStyle w:val="Table2"/>
        <w:tblW w:w="92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35"/>
        <w:gridCol w:w="1290"/>
        <w:tblGridChange w:id="0">
          <w:tblGrid>
            <w:gridCol w:w="7935"/>
            <w:gridCol w:w="129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6d9eeb" w:val="clear"/>
            <w:tcMar>
              <w:top w:w="100.0" w:type="dxa"/>
              <w:left w:w="100.0" w:type="dxa"/>
              <w:bottom w:w="100.0" w:type="dxa"/>
              <w:right w:w="100.0" w:type="dxa"/>
            </w:tcMar>
            <w:vAlign w:val="top"/>
          </w:tcPr>
          <w:p w:rsidR="00000000" w:rsidDel="00000000" w:rsidP="00000000" w:rsidRDefault="00000000" w:rsidRPr="00000000" w14:paraId="00000042">
            <w:pPr>
              <w:spacing w:after="0" w:before="0" w:line="278.4" w:lineRule="auto"/>
              <w:jc w:val="both"/>
              <w:rPr>
                <w:color w:val="ffffff"/>
              </w:rPr>
            </w:pPr>
            <w:r w:rsidDel="00000000" w:rsidR="00000000" w:rsidRPr="00000000">
              <w:rPr>
                <w:b w:val="1"/>
                <w:bCs w:val="1"/>
                <w:color w:val="ffffff"/>
                <w:rtl w:val="0"/>
              </w:rPr>
              <w:t xml:space="preserve">Criteria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6d9eeb" w:val="clear"/>
            <w:tcMar>
              <w:top w:w="100.0" w:type="dxa"/>
              <w:left w:w="100.0" w:type="dxa"/>
              <w:bottom w:w="100.0" w:type="dxa"/>
              <w:right w:w="100.0" w:type="dxa"/>
            </w:tcMar>
            <w:vAlign w:val="top"/>
          </w:tcPr>
          <w:p w:rsidR="00000000" w:rsidDel="00000000" w:rsidP="00000000" w:rsidRDefault="00000000" w:rsidRPr="00000000" w14:paraId="00000043">
            <w:pPr>
              <w:spacing w:after="0" w:before="0" w:line="278.4" w:lineRule="auto"/>
              <w:jc w:val="both"/>
              <w:rPr>
                <w:color w:val="ffffff"/>
              </w:rPr>
            </w:pPr>
            <w:r w:rsidDel="00000000" w:rsidR="00000000" w:rsidRPr="00000000">
              <w:rPr>
                <w:b w:val="1"/>
                <w:bCs w:val="1"/>
                <w:color w:val="ffffff"/>
                <w:rtl w:val="0"/>
              </w:rPr>
              <w:t xml:space="preserve">Weight</w:t>
            </w: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after="120" w:before="0" w:line="278.4" w:lineRule="auto"/>
              <w:jc w:val="both"/>
              <w:rPr/>
            </w:pPr>
            <w:r w:rsidDel="00000000" w:rsidR="00000000" w:rsidRPr="00000000">
              <w:rPr>
                <w:rtl w:val="0"/>
              </w:rPr>
              <w:t xml:space="preserve">Relevant experience and sector knowledge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after="120" w:before="0" w:line="278.4" w:lineRule="auto"/>
              <w:jc w:val="both"/>
              <w:rPr/>
            </w:pPr>
            <w:r w:rsidDel="00000000" w:rsidR="00000000" w:rsidRPr="00000000">
              <w:rPr>
                <w:rtl w:val="0"/>
              </w:rPr>
              <w:t xml:space="preserve">35%</w:t>
            </w:r>
          </w:p>
        </w:tc>
      </w:tr>
      <w:tr>
        <w:trPr>
          <w:cantSplit w:val="0"/>
          <w:trHeight w:val="198.4550781250000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pacing w:after="120" w:before="0" w:line="278.4" w:lineRule="auto"/>
              <w:jc w:val="both"/>
              <w:rPr/>
            </w:pPr>
            <w:r w:rsidDel="00000000" w:rsidR="00000000" w:rsidRPr="00000000">
              <w:rPr>
                <w:rtl w:val="0"/>
              </w:rPr>
              <w:t xml:space="preserve">Quality of proposed approach and methodology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after="120" w:before="0" w:line="278.4" w:lineRule="auto"/>
              <w:jc w:val="both"/>
              <w:rPr/>
            </w:pPr>
            <w:r w:rsidDel="00000000" w:rsidR="00000000" w:rsidRPr="00000000">
              <w:rPr>
                <w:rtl w:val="0"/>
              </w:rPr>
              <w:t xml:space="preserve">30%</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after="120" w:before="0" w:line="278.4" w:lineRule="auto"/>
              <w:jc w:val="both"/>
              <w:rPr/>
            </w:pPr>
            <w:r w:rsidDel="00000000" w:rsidR="00000000" w:rsidRPr="00000000">
              <w:rPr>
                <w:rtl w:val="0"/>
              </w:rPr>
              <w:t xml:space="preserve">Value for money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after="120" w:before="0" w:line="278.4" w:lineRule="auto"/>
              <w:jc w:val="both"/>
              <w:rPr/>
            </w:pPr>
            <w:r w:rsidDel="00000000" w:rsidR="00000000" w:rsidRPr="00000000">
              <w:rPr>
                <w:rtl w:val="0"/>
              </w:rPr>
              <w:t xml:space="preserve">20%</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after="120" w:before="0" w:line="278.4" w:lineRule="auto"/>
              <w:jc w:val="both"/>
              <w:rPr/>
            </w:pPr>
            <w:r w:rsidDel="00000000" w:rsidR="00000000" w:rsidRPr="00000000">
              <w:rPr>
                <w:rtl w:val="0"/>
              </w:rPr>
              <w:t xml:space="preserve">Availability and timeline alignment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after="120" w:before="0" w:line="278.4" w:lineRule="auto"/>
              <w:jc w:val="both"/>
              <w:rPr/>
            </w:pPr>
            <w:r w:rsidDel="00000000" w:rsidR="00000000" w:rsidRPr="00000000">
              <w:rPr>
                <w:rtl w:val="0"/>
              </w:rPr>
              <w:t xml:space="preserve">15%</w:t>
            </w:r>
          </w:p>
        </w:tc>
      </w:tr>
    </w:tbl>
    <w:p w:rsidR="00000000" w:rsidDel="00000000" w:rsidP="00000000" w:rsidRDefault="00000000" w:rsidRPr="00000000" w14:paraId="0000004C">
      <w:pPr>
        <w:keepNext w:val="0"/>
        <w:keepLines w:val="0"/>
        <w:spacing w:after="120" w:before="240" w:line="278.4" w:lineRule="auto"/>
        <w:ind w:left="0"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04D">
      <w:pPr>
        <w:pStyle w:val="Heading2"/>
        <w:keepNext w:val="0"/>
        <w:keepLines w:val="0"/>
        <w:numPr>
          <w:ilvl w:val="0"/>
          <w:numId w:val="8"/>
        </w:numPr>
        <w:spacing w:after="120" w:before="240" w:line="278.4" w:lineRule="auto"/>
        <w:ind w:left="425.19685039370086" w:hanging="360"/>
        <w:jc w:val="both"/>
        <w:rPr>
          <w:u w:val="none"/>
        </w:rPr>
      </w:pPr>
      <w:bookmarkStart w:colFirst="0" w:colLast="0" w:name="_mwp5io65pyc4" w:id="14"/>
      <w:bookmarkEnd w:id="14"/>
      <w:r w:rsidDel="00000000" w:rsidR="00000000" w:rsidRPr="00000000">
        <w:rPr>
          <w:rtl w:val="0"/>
        </w:rPr>
        <w:t xml:space="preserve">Budget</w:t>
      </w:r>
      <w:r w:rsidDel="00000000" w:rsidR="00000000" w:rsidRPr="00000000">
        <w:rPr>
          <w:rtl w:val="0"/>
        </w:rPr>
      </w:r>
    </w:p>
    <w:p w:rsidR="00000000" w:rsidDel="00000000" w:rsidP="00000000" w:rsidRDefault="00000000" w:rsidRPr="00000000" w14:paraId="0000004E">
      <w:pPr>
        <w:spacing w:after="240" w:before="0" w:line="278.4" w:lineRule="auto"/>
        <w:jc w:val="both"/>
        <w:rPr>
          <w:b w:val="1"/>
          <w:bCs w:val="1"/>
        </w:rPr>
      </w:pPr>
      <w:r w:rsidDel="00000000" w:rsidR="00000000" w:rsidRPr="00000000">
        <w:rPr>
          <w:b w:val="1"/>
          <w:bCs w:val="1"/>
          <w:rtl w:val="0"/>
        </w:rPr>
        <w:t xml:space="preserve">£10,000 - £13,000 GBP</w:t>
      </w:r>
      <w:r w:rsidDel="00000000" w:rsidR="00000000" w:rsidRPr="00000000">
        <w:rPr>
          <w:rtl w:val="0"/>
        </w:rPr>
      </w:r>
    </w:p>
    <w:p w:rsidR="00000000" w:rsidDel="00000000" w:rsidP="00000000" w:rsidRDefault="00000000" w:rsidRPr="00000000" w14:paraId="0000004F">
      <w:pPr>
        <w:pStyle w:val="Heading2"/>
        <w:keepNext w:val="0"/>
        <w:keepLines w:val="0"/>
        <w:numPr>
          <w:ilvl w:val="0"/>
          <w:numId w:val="8"/>
        </w:numPr>
        <w:spacing w:after="120" w:before="0" w:line="278.4" w:lineRule="auto"/>
        <w:ind w:left="425.19685039370086" w:hanging="360"/>
        <w:jc w:val="both"/>
        <w:rPr>
          <w:u w:val="none"/>
        </w:rPr>
      </w:pPr>
      <w:bookmarkStart w:colFirst="0" w:colLast="0" w:name="_1w2rjozor4i" w:id="15"/>
      <w:bookmarkEnd w:id="15"/>
      <w:r w:rsidDel="00000000" w:rsidR="00000000" w:rsidRPr="00000000">
        <w:rPr>
          <w:rtl w:val="0"/>
        </w:rPr>
        <w:t xml:space="preserve">Submission Details</w:t>
      </w:r>
      <w:r w:rsidDel="00000000" w:rsidR="00000000" w:rsidRPr="00000000">
        <w:rPr>
          <w:rtl w:val="0"/>
        </w:rPr>
      </w:r>
    </w:p>
    <w:p w:rsidR="00000000" w:rsidDel="00000000" w:rsidP="00000000" w:rsidRDefault="00000000" w:rsidRPr="00000000" w14:paraId="00000050">
      <w:pPr>
        <w:numPr>
          <w:ilvl w:val="0"/>
          <w:numId w:val="4"/>
        </w:numPr>
        <w:spacing w:after="120" w:before="0" w:line="278.4" w:lineRule="auto"/>
        <w:ind w:left="720" w:hanging="360"/>
        <w:jc w:val="both"/>
        <w:rPr>
          <w:u w:val="none"/>
        </w:rPr>
      </w:pPr>
      <w:r w:rsidDel="00000000" w:rsidR="00000000" w:rsidRPr="00000000">
        <w:rPr>
          <w:b w:val="1"/>
          <w:bCs w:val="1"/>
          <w:rtl w:val="0"/>
        </w:rPr>
        <w:t xml:space="preserve">Deadline:</w:t>
      </w:r>
      <w:r w:rsidDel="00000000" w:rsidR="00000000" w:rsidRPr="00000000">
        <w:rPr>
          <w:rtl w:val="0"/>
        </w:rPr>
        <w:t xml:space="preserve"> January 7, 2026</w:t>
      </w:r>
    </w:p>
    <w:p w:rsidR="00000000" w:rsidDel="00000000" w:rsidP="00000000" w:rsidRDefault="00000000" w:rsidRPr="00000000" w14:paraId="00000051">
      <w:pPr>
        <w:numPr>
          <w:ilvl w:val="0"/>
          <w:numId w:val="4"/>
        </w:numPr>
        <w:spacing w:after="240" w:before="0" w:line="278.4" w:lineRule="auto"/>
        <w:ind w:left="720" w:hanging="360"/>
        <w:jc w:val="both"/>
        <w:rPr>
          <w:u w:val="none"/>
        </w:rPr>
      </w:pPr>
      <w:r w:rsidDel="00000000" w:rsidR="00000000" w:rsidRPr="00000000">
        <w:rPr>
          <w:b w:val="1"/>
          <w:bCs w:val="1"/>
          <w:rtl w:val="0"/>
        </w:rPr>
        <w:t xml:space="preserve">Submit </w:t>
      </w:r>
      <w:hyperlink r:id="rId6">
        <w:r w:rsidDel="00000000" w:rsidR="00000000" w:rsidRPr="00000000">
          <w:rPr>
            <w:b w:val="1"/>
            <w:bCs w:val="1"/>
            <w:color w:val="1155cc"/>
            <w:u w:val="single"/>
            <w:rtl w:val="0"/>
          </w:rPr>
          <w:t xml:space="preserve">here</w:t>
        </w:r>
      </w:hyperlink>
      <w:r w:rsidDel="00000000" w:rsidR="00000000" w:rsidRPr="00000000">
        <w:rPr>
          <w:rtl w:val="0"/>
        </w:rPr>
      </w:r>
    </w:p>
    <w:p w:rsidR="00000000" w:rsidDel="00000000" w:rsidP="00000000" w:rsidRDefault="00000000" w:rsidRPr="00000000" w14:paraId="00000052">
      <w:pPr>
        <w:pStyle w:val="Heading2"/>
        <w:keepNext w:val="0"/>
        <w:keepLines w:val="0"/>
        <w:numPr>
          <w:ilvl w:val="0"/>
          <w:numId w:val="8"/>
        </w:numPr>
        <w:spacing w:after="120" w:lineRule="auto"/>
        <w:rPr>
          <w:b w:val="1"/>
          <w:bCs w:val="1"/>
          <w:color w:val="4c94d8"/>
          <w:sz w:val="28"/>
          <w:szCs w:val="28"/>
        </w:rPr>
      </w:pPr>
      <w:bookmarkStart w:colFirst="0" w:colLast="0" w:name="_x47fe1n5oqhh" w:id="16"/>
      <w:bookmarkEnd w:id="16"/>
      <w:r w:rsidDel="00000000" w:rsidR="00000000" w:rsidRPr="00000000">
        <w:rPr>
          <w:rtl w:val="0"/>
        </w:rPr>
        <w:t xml:space="preserve">Contact</w:t>
      </w:r>
    </w:p>
    <w:p w:rsidR="00000000" w:rsidDel="00000000" w:rsidP="00000000" w:rsidRDefault="00000000" w:rsidRPr="00000000" w14:paraId="00000053">
      <w:pPr>
        <w:spacing w:after="120" w:before="0" w:line="278.4" w:lineRule="auto"/>
        <w:jc w:val="both"/>
        <w:rPr/>
      </w:pPr>
      <w:r w:rsidDel="00000000" w:rsidR="00000000" w:rsidRPr="00000000">
        <w:rPr>
          <w:rtl w:val="0"/>
        </w:rPr>
        <w:t xml:space="preserve">F</w:t>
      </w:r>
      <w:r w:rsidDel="00000000" w:rsidR="00000000" w:rsidRPr="00000000">
        <w:rPr>
          <w:rtl w:val="0"/>
        </w:rPr>
        <w:t xml:space="preserve">or questions, please contact:</w:t>
      </w:r>
    </w:p>
    <w:p w:rsidR="00000000" w:rsidDel="00000000" w:rsidP="00000000" w:rsidRDefault="00000000" w:rsidRPr="00000000" w14:paraId="00000054">
      <w:pPr>
        <w:spacing w:after="120" w:before="0" w:line="278.4" w:lineRule="auto"/>
        <w:jc w:val="both"/>
        <w:rPr/>
      </w:pPr>
      <w:r w:rsidDel="00000000" w:rsidR="00000000" w:rsidRPr="00000000">
        <w:rPr>
          <w:rtl w:val="0"/>
        </w:rPr>
        <w:t xml:space="preserve"> 📧 </w:t>
      </w:r>
      <w:r w:rsidDel="00000000" w:rsidR="00000000" w:rsidRPr="00000000">
        <w:rPr>
          <w:b w:val="1"/>
          <w:bCs w:val="1"/>
          <w:rtl w:val="0"/>
        </w:rPr>
        <w:t xml:space="preserve">Isha Chakravarty, BBA Operations Manager</w:t>
        <w:br w:type="textWrapping"/>
      </w:r>
      <w:r w:rsidDel="00000000" w:rsidR="00000000" w:rsidRPr="00000000">
        <w:rPr>
          <w:rtl w:val="0"/>
        </w:rPr>
        <w:t xml:space="preserve"> 📩 </w:t>
      </w:r>
      <w:hyperlink r:id="rId7">
        <w:r w:rsidDel="00000000" w:rsidR="00000000" w:rsidRPr="00000000">
          <w:rPr>
            <w:color w:val="1155cc"/>
            <w:u w:val="single"/>
            <w:rtl w:val="0"/>
          </w:rPr>
          <w:t xml:space="preserve">info@bluebondaccelerator.org</w:t>
        </w:r>
      </w:hyperlink>
      <w:r w:rsidDel="00000000" w:rsidR="00000000" w:rsidRPr="00000000">
        <w:rPr>
          <w:rtl w:val="0"/>
        </w:rPr>
        <w:t xml:space="preserve"> </w:t>
      </w:r>
    </w:p>
    <w:p w:rsidR="00000000" w:rsidDel="00000000" w:rsidP="00000000" w:rsidRDefault="00000000" w:rsidRPr="00000000" w14:paraId="00000055">
      <w:pPr>
        <w:spacing w:after="120" w:before="0" w:line="278.4" w:lineRule="auto"/>
        <w:jc w:val="both"/>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spacing w:after="160" w:line="279" w:lineRule="auto"/>
      <w:jc w:val="right"/>
      <w:rPr/>
    </w:pPr>
    <w:r w:rsidDel="00000000" w:rsidR="00000000" w:rsidRPr="00000000">
      <w:rPr>
        <w:rFonts w:ascii="Aptos" w:cs="Aptos" w:eastAsia="Aptos" w:hAnsi="Aptos"/>
        <w:sz w:val="24"/>
        <w:szCs w:val="24"/>
      </w:rPr>
      <w:drawing>
        <wp:inline distB="0" distT="0" distL="114300" distR="114300">
          <wp:extent cx="1677629" cy="803922"/>
          <wp:effectExtent b="0" l="0" r="0" t="0"/>
          <wp:docPr descr="A close up of a logo&#10;&#10;AI-generated content may be incorrect." id="1" name="image1.png"/>
          <a:graphic>
            <a:graphicData uri="http://schemas.openxmlformats.org/drawingml/2006/picture">
              <pic:pic>
                <pic:nvPicPr>
                  <pic:cNvPr descr="A close up of a logo&#10;&#10;AI-generated content may be incorrect." id="0" name="image1.png"/>
                  <pic:cNvPicPr preferRelativeResize="0"/>
                </pic:nvPicPr>
                <pic:blipFill>
                  <a:blip r:embed="rId1"/>
                  <a:srcRect b="0" l="0" r="0" t="0"/>
                  <a:stretch>
                    <a:fillRect/>
                  </a:stretch>
                </pic:blipFill>
                <pic:spPr>
                  <a:xfrm>
                    <a:off x="0" y="0"/>
                    <a:ext cx="1677629" cy="8039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240" w:line="278.4" w:lineRule="auto"/>
      <w:ind w:left="425.19685039370086" w:hanging="360"/>
      <w:jc w:val="both"/>
    </w:pPr>
    <w:rPr>
      <w:b w:val="1"/>
      <w:bCs w:val="1"/>
      <w:color w:val="4c94d8"/>
      <w:sz w:val="28"/>
      <w:szCs w:val="28"/>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WKTnGQtmTJx57jE67" TargetMode="External"/><Relationship Id="rId7" Type="http://schemas.openxmlformats.org/officeDocument/2006/relationships/hyperlink" Target="mailto:info@bluebondaccelerator.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